
<file path=[Content_Types].xml><?xml version="1.0" encoding="utf-8"?>
<Types xmlns="http://schemas.openxmlformats.org/package/2006/content-types">
  <Default Extension="xml" ContentType="application/xml"/>
  <Default Extension="xlsx" ContentType="application/vnd.openxmlformats-officedocument.spreadsheetml.sheet"/>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before="157" w:beforeLines="50" w:after="157" w:afterLines="50" w:afterAutospacing="0" w:line="300" w:lineRule="auto"/>
        <w:ind w:left="0" w:leftChars="0" w:firstLine="560" w:firstLineChars="200"/>
        <w:jc w:val="center"/>
        <w:textAlignment w:val="auto"/>
        <w:rPr>
          <w:rFonts w:hint="eastAsia" w:ascii="微软雅黑" w:hAnsi="微软雅黑" w:eastAsia="微软雅黑" w:cs="微软雅黑"/>
          <w:b w:val="0"/>
          <w:bCs/>
          <w:sz w:val="28"/>
          <w:szCs w:val="28"/>
        </w:rPr>
      </w:pPr>
      <w:r>
        <w:rPr>
          <w:rFonts w:hint="eastAsia" w:ascii="微软雅黑" w:hAnsi="微软雅黑" w:eastAsia="微软雅黑" w:cs="微软雅黑"/>
          <w:b w:val="0"/>
          <w:bCs/>
          <w:sz w:val="28"/>
          <w:szCs w:val="28"/>
        </w:rPr>
        <w:t>2019年江西省高校毕业生“三支一扶”招募考试试卷</w:t>
      </w:r>
    </w:p>
    <w:p>
      <w:pPr>
        <w:keepNext w:val="0"/>
        <w:keepLines w:val="0"/>
        <w:pageBreakBefore w:val="0"/>
        <w:widowControl w:val="0"/>
        <w:kinsoku/>
        <w:wordWrap/>
        <w:overflowPunct/>
        <w:topLinePunct w:val="0"/>
        <w:autoSpaceDE/>
        <w:autoSpaceDN/>
        <w:bidi w:val="0"/>
        <w:adjustRightInd/>
        <w:snapToGrid/>
        <w:spacing w:after="157" w:afterLines="50" w:afterAutospacing="0" w:line="300" w:lineRule="auto"/>
        <w:ind w:left="0" w:leftChars="0" w:firstLine="562" w:firstLineChars="200"/>
        <w:jc w:val="center"/>
        <w:textAlignment w:val="auto"/>
        <w:outlineLvl w:val="0"/>
        <w:rPr>
          <w:rFonts w:hint="default" w:ascii="Times New Roman" w:hAnsi="Times New Roman" w:cs="Times New Roman"/>
          <w:b/>
          <w:sz w:val="28"/>
          <w:szCs w:val="28"/>
        </w:rPr>
      </w:pPr>
      <w:bookmarkStart w:id="0" w:name="_GoBack"/>
      <w:bookmarkEnd w:id="0"/>
      <w:r>
        <w:rPr>
          <w:rFonts w:hint="default" w:ascii="Times New Roman" w:hAnsi="Times New Roman" w:cs="Times New Roman"/>
          <w:b/>
          <w:sz w:val="28"/>
          <w:szCs w:val="28"/>
        </w:rPr>
        <w:t>第一部分</w:t>
      </w:r>
      <w:r>
        <w:rPr>
          <w:rFonts w:hint="eastAsia" w:ascii="Times New Roman" w:hAnsi="Times New Roman" w:cs="Times New Roman"/>
          <w:b/>
          <w:sz w:val="28"/>
          <w:szCs w:val="28"/>
          <w:lang w:val="en-US" w:eastAsia="zh-CN"/>
        </w:rPr>
        <w:t xml:space="preserve">  </w:t>
      </w:r>
      <w:r>
        <w:rPr>
          <w:rFonts w:hint="default" w:ascii="Times New Roman" w:hAnsi="Times New Roman" w:cs="Times New Roman"/>
          <w:b/>
          <w:sz w:val="28"/>
          <w:szCs w:val="28"/>
        </w:rPr>
        <w:t>客观题</w:t>
      </w:r>
    </w:p>
    <w:p>
      <w:pPr>
        <w:keepNext w:val="0"/>
        <w:keepLines w:val="0"/>
        <w:pageBreakBefore w:val="0"/>
        <w:widowControl w:val="0"/>
        <w:kinsoku/>
        <w:wordWrap/>
        <w:overflowPunct/>
        <w:topLinePunct w:val="0"/>
        <w:autoSpaceDE/>
        <w:autoSpaceDN/>
        <w:bidi w:val="0"/>
        <w:adjustRightInd/>
        <w:snapToGrid/>
        <w:spacing w:after="157" w:afterLines="50" w:afterAutospacing="0" w:line="300" w:lineRule="auto"/>
        <w:ind w:left="0" w:leftChars="0" w:firstLine="422" w:firstLineChars="200"/>
        <w:textAlignment w:val="auto"/>
        <w:rPr>
          <w:rFonts w:hint="default" w:ascii="Times New Roman" w:hAnsi="Times New Roman" w:cs="Times New Roman"/>
          <w:sz w:val="21"/>
          <w:szCs w:val="21"/>
        </w:rPr>
      </w:pPr>
      <w:r>
        <w:rPr>
          <w:rFonts w:hint="default" w:ascii="Times New Roman" w:hAnsi="Times New Roman" w:cs="Times New Roman"/>
          <w:b/>
          <w:sz w:val="21"/>
          <w:szCs w:val="21"/>
        </w:rPr>
        <w:t>本部分为客观题，共50道题。根据题目要求，在四个选项中选出一个最恰当的答案</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1</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2019年5月20日至22日，习近平总书记系临江西视察指导工作，对江西提出的殷切希望是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奋力开启建设富裕美丽幸福现代化江西新征程</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让老区人民过上更加美好的生活</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弘扬长征精神，率先在中部地区崛起</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加快革命老区高质量发展、推动中部地区崛起</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2</w:t>
      </w:r>
      <w:r>
        <w:rPr>
          <w:rFonts w:hint="eastAsia" w:ascii="Times New Roman" w:hAnsi="Times New Roman" w:cs="Times New Roman"/>
          <w:sz w:val="21"/>
          <w:szCs w:val="21"/>
          <w:lang w:eastAsia="zh-CN"/>
        </w:rPr>
        <w:t>．</w:t>
      </w:r>
      <w:r>
        <w:rPr>
          <w:rFonts w:hint="default" w:ascii="Times New Roman" w:hAnsi="Times New Roman" w:cs="Times New Roman"/>
          <w:sz w:val="21"/>
          <w:szCs w:val="21"/>
        </w:rPr>
        <w:t>5月31日，“不忘初心、牢记使命”主题教育工作会议在北京召开。下列不属于这次主题教育根本任务的是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深入学习贯彻新时代中国特色社会主义思想</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弘扬爱国主义的优良传统</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锤炼忠诚干净担当的政治品格</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团结带领全国各族人民为实现伟大梦想共同奋斗</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3</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关于我国2018年宏观经济指标，下列表述</w:t>
      </w:r>
      <w:r>
        <w:rPr>
          <w:rFonts w:hint="default" w:ascii="Times New Roman" w:hAnsi="Times New Roman" w:cs="Times New Roman"/>
          <w:b/>
          <w:sz w:val="21"/>
          <w:szCs w:val="21"/>
        </w:rPr>
        <w:t>错误</w:t>
      </w:r>
      <w:r>
        <w:rPr>
          <w:rFonts w:hint="default" w:ascii="Times New Roman" w:hAnsi="Times New Roman" w:cs="Times New Roman"/>
          <w:sz w:val="21"/>
          <w:szCs w:val="21"/>
        </w:rPr>
        <w:t>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经济总量突破80万亿元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国内生产总值增长6</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6</w:t>
      </w:r>
      <w:r>
        <w:rPr>
          <w:rFonts w:hint="eastAsia" w:ascii="Times New Roman" w:hAnsi="Times New Roman" w:cs="Times New Roman"/>
          <w:sz w:val="21"/>
          <w:szCs w:val="21"/>
          <w:lang w:val="en-US"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居民消费价格上涨2</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1</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 xml:space="preserve">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调查失业率稳定在5</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左右</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4</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2019年“中央一号文件”提出以土地制度改革为牵引推进农村改革，概括为“三个坚持、两个允许、两个加快和一个推开”。关于“三个坚持”，下列表述</w:t>
      </w:r>
      <w:r>
        <w:rPr>
          <w:rFonts w:hint="default" w:ascii="Times New Roman" w:hAnsi="Times New Roman" w:cs="Times New Roman"/>
          <w:b/>
          <w:sz w:val="21"/>
          <w:szCs w:val="21"/>
        </w:rPr>
        <w:t>错误</w:t>
      </w:r>
      <w:r>
        <w:rPr>
          <w:rFonts w:hint="default" w:ascii="Times New Roman" w:hAnsi="Times New Roman" w:cs="Times New Roman"/>
          <w:sz w:val="21"/>
          <w:szCs w:val="21"/>
        </w:rPr>
        <w:t>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坚持农地农用、防止非农化</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坚持农村土地集体所有、不搞私有化</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坚持土地流转、实行农村土地适度规模经营</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坚持保障农民土地权益、不得以退出承包地和宅基地作为农民进城落户条件</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5</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根据《多村振兴战略规划（2018-2022年）》，下列表述</w:t>
      </w:r>
      <w:r>
        <w:rPr>
          <w:rFonts w:hint="default" w:ascii="Times New Roman" w:hAnsi="Times New Roman" w:cs="Times New Roman"/>
          <w:b/>
          <w:sz w:val="21"/>
          <w:szCs w:val="21"/>
        </w:rPr>
        <w:t>不正确</w:t>
      </w:r>
      <w:r>
        <w:rPr>
          <w:rFonts w:hint="default" w:ascii="Times New Roman" w:hAnsi="Times New Roman" w:cs="Times New Roman"/>
          <w:sz w:val="21"/>
          <w:szCs w:val="21"/>
        </w:rPr>
        <w:t>的是。</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2022年农村全面实现脱贫</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分两个阶段实现第二个百年奋斗目标</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2020年农村全面实现小康</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为基本实现农业农村现代化开好局、起好步、打好基础</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6</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当前全球移动通信基本上是以十年一代的规律进行演进。关于移动通信技术，下列表述</w:t>
      </w:r>
      <w:r>
        <w:rPr>
          <w:rFonts w:hint="default" w:ascii="Times New Roman" w:hAnsi="Times New Roman" w:cs="Times New Roman"/>
          <w:b/>
          <w:sz w:val="21"/>
          <w:szCs w:val="21"/>
        </w:rPr>
        <w:t>不正确</w:t>
      </w:r>
      <w:r>
        <w:rPr>
          <w:rFonts w:hint="default" w:ascii="Times New Roman" w:hAnsi="Times New Roman" w:cs="Times New Roman"/>
          <w:sz w:val="21"/>
          <w:szCs w:val="21"/>
        </w:rPr>
        <w:t>的是。</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1G作为第一代模拟通信系统实现了语音通话</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2G在支持语音通话的同时，实现了上网功能</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3G支持高质量的视频传输和高速度的移动互联网业务</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5G从传统的人与人通讯拓展到人与物、物与物通信</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7</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根据国务院最新发布的《个人所得税专项附加扣除暂行办法》下列</w:t>
      </w:r>
      <w:r>
        <w:rPr>
          <w:rFonts w:hint="default" w:ascii="Times New Roman" w:hAnsi="Times New Roman" w:cs="Times New Roman"/>
          <w:b/>
          <w:sz w:val="21"/>
          <w:szCs w:val="21"/>
        </w:rPr>
        <w:t>不属于</w:t>
      </w:r>
      <w:r>
        <w:rPr>
          <w:rFonts w:hint="default" w:ascii="Times New Roman" w:hAnsi="Times New Roman" w:cs="Times New Roman"/>
          <w:sz w:val="21"/>
          <w:szCs w:val="21"/>
        </w:rPr>
        <w:t>专项附加扣除的是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大病医疗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继续教育</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住房货款利息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抚养子女</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8</w:t>
      </w:r>
      <w:r>
        <w:rPr>
          <w:rFonts w:hint="eastAsia" w:ascii="Times New Roman" w:hAnsi="Times New Roman" w:cs="Times New Roman"/>
          <w:sz w:val="21"/>
          <w:szCs w:val="21"/>
          <w:lang w:eastAsia="zh-CN"/>
        </w:rPr>
        <w:t>．</w:t>
      </w:r>
      <w:r>
        <w:rPr>
          <w:rFonts w:hint="default" w:ascii="Times New Roman" w:hAnsi="Times New Roman" w:cs="Times New Roman"/>
          <w:color w:val="000000" w:themeColor="text1"/>
          <w:sz w:val="21"/>
          <w:szCs w:val="21"/>
        </w:rPr>
        <w:t>《中国共产党支部工作条例（试行）》是新时代党支部建设的基本遵循，既弘扬“</w:t>
      </w:r>
      <w:r>
        <w:rPr>
          <w:rFonts w:hint="eastAsia" w:ascii="Times New Roman" w:hAnsi="Times New Roman" w:cs="Times New Roman"/>
          <w:color w:val="000000" w:themeColor="text1"/>
          <w:sz w:val="21"/>
          <w:szCs w:val="21"/>
          <w:lang w:eastAsia="zh-CN"/>
        </w:rPr>
        <w:t>（</w:t>
      </w:r>
      <w:r>
        <w:rPr>
          <w:rFonts w:hint="eastAsia" w:ascii="Times New Roman" w:hAnsi="Times New Roman" w:cs="Times New Roman"/>
          <w:color w:val="000000" w:themeColor="text1"/>
          <w:sz w:val="21"/>
          <w:szCs w:val="21"/>
          <w:lang w:val="en-US" w:eastAsia="zh-CN"/>
        </w:rPr>
        <w:t xml:space="preserve">    </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”的光荣传统，又体现基层创造的新做法新经验</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对党支部工作作出全面规范。</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color w:val="000000" w:themeColor="text1"/>
          <w:sz w:val="21"/>
          <w:szCs w:val="21"/>
        </w:rPr>
        <w:t>支部建在连上                      B</w:t>
      </w:r>
      <w:r>
        <w:rPr>
          <w:rFonts w:hint="eastAsia" w:ascii="Times New Roman" w:hAnsi="Times New Roman" w:cs="Times New Roman"/>
          <w:sz w:val="21"/>
          <w:szCs w:val="21"/>
          <w:lang w:eastAsia="zh-CN"/>
        </w:rPr>
        <w:t>．</w:t>
      </w:r>
      <w:r>
        <w:rPr>
          <w:rFonts w:hint="default" w:ascii="Times New Roman" w:hAnsi="Times New Roman" w:cs="Times New Roman"/>
          <w:color w:val="000000" w:themeColor="text1"/>
          <w:sz w:val="21"/>
          <w:szCs w:val="21"/>
        </w:rPr>
        <w:t>克己奉公、执政为民</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全心全意为人民服务                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自力更生、观苦奋斗</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9</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下列构成不作为犯罪的是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甲邀张某去爬山，张某在爬山途中掉入深潭。甲未下潭救人，张某溺亡</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乙与熊某到河里游泳，乙为显示泳技，将不擅游泳的熊某拉到深水区教其游泳。熊某忽然沉没，乙有点害怕，忙游上岸，熊某溺亡</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丙女拒绝谢某求婚，谢某说</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“如不答应，我就跳楼自杀。”丙女明知谢某可能跳楼，仍不同意。谢某跳楼后，丙女未施救，谢某死亡</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丁开车途中，见徐某发生车祸，徐某向唯一在场的丁呼教。丁未予理睬，徐某死亡</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color w:val="000000" w:themeColor="text1"/>
          <w:sz w:val="21"/>
          <w:szCs w:val="21"/>
          <w:lang w:eastAsia="zh-CN"/>
        </w:rPr>
      </w:pPr>
      <w:r>
        <w:rPr>
          <w:rFonts w:hint="default" w:ascii="Times New Roman" w:hAnsi="Times New Roman" w:cs="Times New Roman"/>
          <w:color w:val="000000" w:themeColor="text1"/>
          <w:sz w:val="21"/>
          <w:szCs w:val="21"/>
        </w:rPr>
        <w:t>10</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关于“五四”运动，下列表述</w:t>
      </w:r>
      <w:r>
        <w:rPr>
          <w:rFonts w:hint="default" w:ascii="Times New Roman" w:hAnsi="Times New Roman" w:cs="Times New Roman"/>
          <w:b/>
          <w:color w:val="000000" w:themeColor="text1"/>
          <w:sz w:val="21"/>
          <w:szCs w:val="21"/>
        </w:rPr>
        <w:t>不正确</w:t>
      </w:r>
      <w:r>
        <w:rPr>
          <w:rFonts w:hint="default" w:ascii="Times New Roman" w:hAnsi="Times New Roman" w:cs="Times New Roman"/>
          <w:color w:val="000000" w:themeColor="text1"/>
          <w:sz w:val="21"/>
          <w:szCs w:val="21"/>
        </w:rPr>
        <w:t>的是</w:t>
      </w:r>
      <w:r>
        <w:rPr>
          <w:rFonts w:hint="eastAsia" w:ascii="Times New Roman" w:hAnsi="Times New Roman" w:cs="Times New Roman"/>
          <w:color w:val="000000" w:themeColor="text1"/>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直接导火索是巴黎和会上中国外交的失败</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孕育了以爱国、进步、民主、科学为主要内容的“五四”精神</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激发了中国资产阶级和无产阶级之间的矛盾</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为中国共产党的成立做了思想上干部上的准备</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11</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随着首次装载搜救载荷的两颗北斗导航卫星升空，中国北斗将逐步开始为全球用户提供的新增服务是。</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 xml:space="preserve">危险预测     </w:t>
      </w:r>
      <w:r>
        <w:rPr>
          <w:rFonts w:hint="eastAsia" w:ascii="Times New Roman" w:hAnsi="Times New Roman" w:cs="Times New Roman"/>
          <w:color w:val="000000" w:themeColor="text1"/>
          <w:sz w:val="21"/>
          <w:szCs w:val="21"/>
          <w:lang w:val="en-US" w:eastAsia="zh-CN"/>
        </w:rPr>
        <w:t xml:space="preserve">                   </w:t>
      </w:r>
      <w:r>
        <w:rPr>
          <w:rFonts w:hint="default" w:ascii="Times New Roman" w:hAnsi="Times New Roman" w:cs="Times New Roman"/>
          <w:color w:val="000000" w:themeColor="text1"/>
          <w:sz w:val="21"/>
          <w:szCs w:val="21"/>
        </w:rPr>
        <w:t xml:space="preserve"> 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灾难报警</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FF0000"/>
          <w:sz w:val="21"/>
          <w:szCs w:val="21"/>
        </w:rPr>
      </w:pPr>
      <w:r>
        <w:rPr>
          <w:rFonts w:hint="default" w:ascii="Times New Roman" w:hAnsi="Times New Roman" w:cs="Times New Roman"/>
          <w:color w:val="000000" w:themeColor="text1"/>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 xml:space="preserve">遇险报警  </w:t>
      </w:r>
      <w:r>
        <w:rPr>
          <w:rFonts w:hint="eastAsia" w:ascii="Times New Roman" w:hAnsi="Times New Roman" w:cs="Times New Roman"/>
          <w:color w:val="000000" w:themeColor="text1"/>
          <w:sz w:val="21"/>
          <w:szCs w:val="21"/>
          <w:lang w:val="en-US" w:eastAsia="zh-CN"/>
        </w:rPr>
        <w:t xml:space="preserve">                   </w:t>
      </w:r>
      <w:r>
        <w:rPr>
          <w:rFonts w:hint="default" w:ascii="Times New Roman" w:hAnsi="Times New Roman" w:cs="Times New Roman"/>
          <w:color w:val="000000" w:themeColor="text1"/>
          <w:sz w:val="21"/>
          <w:szCs w:val="21"/>
        </w:rPr>
        <w:t xml:space="preserve">    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气候灾害预警</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12</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下列与《在水一方》歌词相关的是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《离骚》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《诗经·蒹葭》</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《诗经・关雎》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《孔雀东南飞》</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13 中国古代知识分子关于肉体生命实现人生超越的“三不朽”理念指的是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立德、立志、立业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立志、立功、立名</w:t>
      </w:r>
    </w:p>
    <w:p>
      <w:pPr>
        <w:keepNext w:val="0"/>
        <w:keepLines w:val="0"/>
        <w:pageBreakBefore w:val="0"/>
        <w:widowControl w:val="0"/>
        <w:tabs>
          <w:tab w:val="left" w:pos="312"/>
        </w:tabs>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立德、立功、立言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立业、立功、立名</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14</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关于我国地形分界线，下列说法</w:t>
      </w:r>
      <w:r>
        <w:rPr>
          <w:rFonts w:hint="default" w:ascii="Times New Roman" w:hAnsi="Times New Roman" w:cs="Times New Roman"/>
          <w:b/>
          <w:color w:val="000000" w:themeColor="text1"/>
          <w:sz w:val="21"/>
          <w:szCs w:val="21"/>
        </w:rPr>
        <w:t>不正确</w:t>
      </w:r>
      <w:r>
        <w:rPr>
          <w:rFonts w:hint="default" w:ascii="Times New Roman" w:hAnsi="Times New Roman" w:cs="Times New Roman"/>
          <w:color w:val="000000" w:themeColor="text1"/>
          <w:sz w:val="21"/>
          <w:szCs w:val="21"/>
        </w:rPr>
        <w:t>的是</w:t>
      </w:r>
      <w:r>
        <w:rPr>
          <w:rFonts w:hint="eastAsia" w:ascii="Times New Roman" w:hAnsi="Times New Roman" w:cs="Times New Roman"/>
          <w:color w:val="000000" w:themeColor="text1"/>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四川盆地和长江中下游平原的界限是大巴山脉</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河西走廊和柴达木盆地的界限是祁连山脉</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青藏高原和塔里木盆地的界限是昆仑山脉</w:t>
      </w:r>
    </w:p>
    <w:p>
      <w:pPr>
        <w:keepNext w:val="0"/>
        <w:keepLines w:val="0"/>
        <w:pageBreakBefore w:val="0"/>
        <w:widowControl w:val="0"/>
        <w:tabs>
          <w:tab w:val="left" w:pos="312"/>
        </w:tabs>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内蒙古高原和黄土高原的界限是古长城</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15</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“两不愁三保障”是我国在易地扶贫搬迁中提出的主要目标，下列</w:t>
      </w:r>
      <w:r>
        <w:rPr>
          <w:rFonts w:hint="default" w:ascii="Times New Roman" w:hAnsi="Times New Roman" w:cs="Times New Roman"/>
          <w:b/>
          <w:color w:val="000000" w:themeColor="text1"/>
          <w:sz w:val="21"/>
          <w:szCs w:val="21"/>
        </w:rPr>
        <w:t>不属于</w:t>
      </w:r>
      <w:r>
        <w:rPr>
          <w:rFonts w:hint="default" w:ascii="Times New Roman" w:hAnsi="Times New Roman" w:cs="Times New Roman"/>
          <w:color w:val="000000" w:themeColor="text1"/>
          <w:sz w:val="21"/>
          <w:szCs w:val="21"/>
        </w:rPr>
        <w:t>“三保障”内容的是。</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 xml:space="preserve">义务教育有保障       </w:t>
      </w:r>
      <w:r>
        <w:rPr>
          <w:rFonts w:hint="eastAsia" w:ascii="Times New Roman" w:hAnsi="Times New Roman" w:cs="Times New Roman"/>
          <w:color w:val="000000" w:themeColor="text1"/>
          <w:sz w:val="21"/>
          <w:szCs w:val="21"/>
          <w:lang w:val="en-US" w:eastAsia="zh-CN"/>
        </w:rPr>
        <w:t xml:space="preserve">         </w:t>
      </w:r>
      <w:r>
        <w:rPr>
          <w:rFonts w:hint="default" w:ascii="Times New Roman" w:hAnsi="Times New Roman" w:cs="Times New Roman"/>
          <w:color w:val="000000" w:themeColor="text1"/>
          <w:sz w:val="21"/>
          <w:szCs w:val="21"/>
        </w:rPr>
        <w:t xml:space="preserve">    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基本医疗有保障</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 xml:space="preserve">住房安全有保障         </w:t>
      </w:r>
      <w:r>
        <w:rPr>
          <w:rFonts w:hint="eastAsia" w:ascii="Times New Roman" w:hAnsi="Times New Roman" w:cs="Times New Roman"/>
          <w:color w:val="000000" w:themeColor="text1"/>
          <w:sz w:val="21"/>
          <w:szCs w:val="21"/>
          <w:lang w:val="en-US" w:eastAsia="zh-CN"/>
        </w:rPr>
        <w:t xml:space="preserve">         </w:t>
      </w:r>
      <w:r>
        <w:rPr>
          <w:rFonts w:hint="default" w:ascii="Times New Roman" w:hAnsi="Times New Roman" w:cs="Times New Roman"/>
          <w:color w:val="000000" w:themeColor="text1"/>
          <w:sz w:val="21"/>
          <w:szCs w:val="21"/>
        </w:rPr>
        <w:t xml:space="preserve">  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饮水安全有保障</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16</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下列行为成立以危险方法危害公共安全罪的是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赵某醉酒后驾车，刚开出10分钟就撞死1人</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李某在繁华路段飙车，2名老人受到惊吓致心脏病发作死亡</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张某驾车在公路转弯处高速行驶，撞翻相向行驶车辆，致3人死亡</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华某驾车在道路上横冲直撞，撞翻数辆他人所驾汽车，致4人死亡</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17</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下列</w:t>
      </w:r>
      <w:r>
        <w:rPr>
          <w:rFonts w:hint="default" w:ascii="Times New Roman" w:hAnsi="Times New Roman" w:cs="Times New Roman"/>
          <w:b/>
          <w:color w:val="000000" w:themeColor="text1"/>
          <w:sz w:val="21"/>
          <w:szCs w:val="21"/>
        </w:rPr>
        <w:t>不属于</w:t>
      </w:r>
      <w:r>
        <w:rPr>
          <w:rFonts w:hint="default" w:ascii="Times New Roman" w:hAnsi="Times New Roman" w:cs="Times New Roman"/>
          <w:color w:val="000000" w:themeColor="text1"/>
          <w:sz w:val="21"/>
          <w:szCs w:val="21"/>
        </w:rPr>
        <w:t>农业现代化基本内容的是。</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 xml:space="preserve">农业生产手段现代化       </w:t>
      </w:r>
      <w:r>
        <w:rPr>
          <w:rFonts w:hint="eastAsia" w:ascii="Times New Roman" w:hAnsi="Times New Roman" w:cs="Times New Roman"/>
          <w:color w:val="000000" w:themeColor="text1"/>
          <w:sz w:val="21"/>
          <w:szCs w:val="21"/>
          <w:lang w:val="en-US" w:eastAsia="zh-CN"/>
        </w:rPr>
        <w:t xml:space="preserve">      </w:t>
      </w:r>
      <w:r>
        <w:rPr>
          <w:rFonts w:hint="default" w:ascii="Times New Roman" w:hAnsi="Times New Roman" w:cs="Times New Roman"/>
          <w:color w:val="000000" w:themeColor="text1"/>
          <w:sz w:val="21"/>
          <w:szCs w:val="21"/>
        </w:rPr>
        <w:t xml:space="preserve">   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农业生产技术现代化</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 xml:space="preserve">农业生产工具现代化         </w:t>
      </w:r>
      <w:r>
        <w:rPr>
          <w:rFonts w:hint="eastAsia" w:ascii="Times New Roman" w:hAnsi="Times New Roman" w:cs="Times New Roman"/>
          <w:color w:val="000000" w:themeColor="text1"/>
          <w:sz w:val="21"/>
          <w:szCs w:val="21"/>
          <w:lang w:val="en-US" w:eastAsia="zh-CN"/>
        </w:rPr>
        <w:t xml:space="preserve">      </w:t>
      </w:r>
      <w:r>
        <w:rPr>
          <w:rFonts w:hint="default" w:ascii="Times New Roman" w:hAnsi="Times New Roman" w:cs="Times New Roman"/>
          <w:color w:val="000000" w:themeColor="text1"/>
          <w:sz w:val="21"/>
          <w:szCs w:val="21"/>
        </w:rPr>
        <w:t xml:space="preserve"> 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农业生产管理现代化</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18</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有关农村宅基地，下列表述</w:t>
      </w:r>
      <w:r>
        <w:rPr>
          <w:rFonts w:hint="default" w:ascii="Times New Roman" w:hAnsi="Times New Roman" w:cs="Times New Roman"/>
          <w:b/>
          <w:sz w:val="21"/>
          <w:szCs w:val="21"/>
        </w:rPr>
        <w:t>错误</w:t>
      </w:r>
      <w:r>
        <w:rPr>
          <w:rFonts w:hint="default" w:ascii="Times New Roman" w:hAnsi="Times New Roman" w:cs="Times New Roman"/>
          <w:sz w:val="21"/>
          <w:szCs w:val="21"/>
        </w:rPr>
        <w:t>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农村村民一户只能拥有一处宅基地</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村民经审批取得宅基地后，拥有宅基地的使用权和所有权</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农村村民出租住房或出卖住房后，再次申请宅基地的，不子批准</w:t>
      </w:r>
    </w:p>
    <w:p>
      <w:pPr>
        <w:keepNext w:val="0"/>
        <w:keepLines w:val="0"/>
        <w:pageBreakBefore w:val="0"/>
        <w:widowControl w:val="0"/>
        <w:tabs>
          <w:tab w:val="left" w:pos="312"/>
        </w:tabs>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宅基地是指建了房屋、建过房屋或者决定用于建造房屋的土地</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color w:val="000000" w:themeColor="text1"/>
          <w:sz w:val="21"/>
          <w:szCs w:val="21"/>
          <w:lang w:eastAsia="zh-CN"/>
        </w:rPr>
      </w:pPr>
      <w:r>
        <w:rPr>
          <w:rFonts w:hint="default" w:ascii="Times New Roman" w:hAnsi="Times New Roman" w:cs="Times New Roman"/>
          <w:color w:val="000000" w:themeColor="text1"/>
          <w:sz w:val="21"/>
          <w:szCs w:val="21"/>
        </w:rPr>
        <w:t>19</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港珠澳大桥是世界上最长的跨海大桥，海中桥隧主体工程由粤、港、澳三地共同建设，采取“三地三检”通关模式，正式开通时间是</w:t>
      </w:r>
      <w:r>
        <w:rPr>
          <w:rFonts w:hint="eastAsia" w:ascii="Times New Roman" w:hAnsi="Times New Roman" w:cs="Times New Roman"/>
          <w:color w:val="000000" w:themeColor="text1"/>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2018年9月22日             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2018年10月26日</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2018年10月23日            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2018年11月20日</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20</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党的十八届三中全会以来，我国农村加快构建新型农业经营体系。关于合作社，下列表述</w:t>
      </w:r>
      <w:r>
        <w:rPr>
          <w:rFonts w:hint="default" w:ascii="Times New Roman" w:hAnsi="Times New Roman" w:cs="Times New Roman"/>
          <w:b/>
          <w:color w:val="000000" w:themeColor="text1"/>
          <w:sz w:val="21"/>
          <w:szCs w:val="21"/>
        </w:rPr>
        <w:t>错误</w:t>
      </w:r>
      <w:r>
        <w:rPr>
          <w:rFonts w:hint="default" w:ascii="Times New Roman" w:hAnsi="Times New Roman" w:cs="Times New Roman"/>
          <w:color w:val="000000" w:themeColor="text1"/>
          <w:sz w:val="21"/>
          <w:szCs w:val="21"/>
        </w:rPr>
        <w:t>的是</w:t>
      </w:r>
      <w:r>
        <w:rPr>
          <w:rFonts w:hint="eastAsia" w:ascii="Times New Roman" w:hAnsi="Times New Roman" w:cs="Times New Roman"/>
          <w:color w:val="000000" w:themeColor="text1"/>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合作社是封闭型的经济组织</w:t>
      </w:r>
      <w:r>
        <w:rPr>
          <w:rFonts w:hint="eastAsia" w:ascii="Times New Roman" w:hAnsi="Times New Roman" w:cs="Times New Roman"/>
          <w:color w:val="000000" w:themeColor="text1"/>
          <w:sz w:val="21"/>
          <w:szCs w:val="21"/>
          <w:lang w:val="en-US" w:eastAsia="zh-CN"/>
        </w:rPr>
        <w:t xml:space="preserve">     </w:t>
      </w:r>
      <w:r>
        <w:rPr>
          <w:rFonts w:hint="default" w:ascii="Times New Roman" w:hAnsi="Times New Roman" w:cs="Times New Roman"/>
          <w:color w:val="000000" w:themeColor="text1"/>
          <w:sz w:val="21"/>
          <w:szCs w:val="21"/>
        </w:rPr>
        <w:t>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合作社是有特殊原则的合作经济组织</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合作社是劳动者的联合组织</w:t>
      </w:r>
      <w:r>
        <w:rPr>
          <w:rFonts w:hint="eastAsia" w:ascii="Times New Roman" w:hAnsi="Times New Roman" w:cs="Times New Roman"/>
          <w:color w:val="000000" w:themeColor="text1"/>
          <w:sz w:val="21"/>
          <w:szCs w:val="21"/>
          <w:lang w:val="en-US" w:eastAsia="zh-CN"/>
        </w:rPr>
        <w:t xml:space="preserve">     </w:t>
      </w:r>
      <w:r>
        <w:rPr>
          <w:rFonts w:hint="default" w:ascii="Times New Roman" w:hAnsi="Times New Roman" w:cs="Times New Roman"/>
          <w:color w:val="000000" w:themeColor="text1"/>
          <w:sz w:val="21"/>
          <w:szCs w:val="21"/>
        </w:rPr>
        <w:t>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合作社是一种特殊的服务型企业</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21</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村民甲欠村民乙两万元钱，村民乙欠村民丙两万元钱，乙丙之间就乙对甲的债权转让事项达成了一致，但没有通知甲。关于乙丙之间债权转让，下列说法正确的是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如果甲不履行债务，则丙有权向法院起诉，要求乙承担违约责任</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如果甲不履行债务，则乙有权向法院起诉，要求甲承担违约责任</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如果甲不履行债务，则丙有权向法院起诉，要求甲承担违约责任</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乙丙之间债权转让有效</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22</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我国农村实行村民自治。有关村民自治，下列表述</w:t>
      </w:r>
      <w:r>
        <w:rPr>
          <w:rFonts w:hint="default" w:ascii="Times New Roman" w:hAnsi="Times New Roman" w:cs="Times New Roman"/>
          <w:b/>
          <w:sz w:val="21"/>
          <w:szCs w:val="21"/>
        </w:rPr>
        <w:t>错误</w:t>
      </w:r>
      <w:r>
        <w:rPr>
          <w:rFonts w:hint="default" w:ascii="Times New Roman" w:hAnsi="Times New Roman" w:cs="Times New Roman"/>
          <w:sz w:val="21"/>
          <w:szCs w:val="21"/>
        </w:rPr>
        <w:t>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民主评议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民主决策</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民主管理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民主监督</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color w:val="000000" w:themeColor="text1"/>
          <w:sz w:val="21"/>
          <w:szCs w:val="21"/>
          <w:lang w:eastAsia="zh-CN"/>
        </w:rPr>
      </w:pPr>
      <w:r>
        <w:rPr>
          <w:rFonts w:hint="default" w:ascii="Times New Roman" w:hAnsi="Times New Roman" w:cs="Times New Roman"/>
          <w:color w:val="000000" w:themeColor="text1"/>
          <w:sz w:val="21"/>
          <w:szCs w:val="21"/>
        </w:rPr>
        <w:t>23</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关于有机蔬菜，下列表述不正确的是</w:t>
      </w:r>
      <w:r>
        <w:rPr>
          <w:rFonts w:hint="eastAsia" w:ascii="Times New Roman" w:hAnsi="Times New Roman" w:cs="Times New Roman"/>
          <w:color w:val="000000" w:themeColor="text1"/>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无农药无化肥无激素无转基因的蔬菜</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温室大棚也能种植出有机蔬菜</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与普通蔬菜相比，有机蔬菜保存时间较久，不易腐烂</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农民在自家地里种植的蔬菜</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color w:val="000000" w:themeColor="text1"/>
          <w:sz w:val="21"/>
          <w:szCs w:val="21"/>
          <w:lang w:eastAsia="zh-CN"/>
        </w:rPr>
      </w:pPr>
      <w:r>
        <w:rPr>
          <w:rFonts w:hint="default" w:ascii="Times New Roman" w:hAnsi="Times New Roman" w:cs="Times New Roman"/>
          <w:color w:val="000000" w:themeColor="text1"/>
          <w:sz w:val="21"/>
          <w:szCs w:val="21"/>
        </w:rPr>
        <w:t>24</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今年召开的全国生态环境保护工作会议指出，打好碧水保卫战是2019年的重点工作，打赢这一战役的重要保障是</w:t>
      </w:r>
      <w:r>
        <w:rPr>
          <w:rFonts w:hint="eastAsia" w:ascii="Times New Roman" w:hAnsi="Times New Roman" w:cs="Times New Roman"/>
          <w:color w:val="000000" w:themeColor="text1"/>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黄河流域综合治理            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长江流城河道治理</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江河湖海综合整治            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内河内湖生态治理</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color w:val="000000" w:themeColor="text1"/>
          <w:sz w:val="21"/>
          <w:szCs w:val="21"/>
          <w:lang w:eastAsia="zh-CN"/>
        </w:rPr>
      </w:pPr>
      <w:r>
        <w:rPr>
          <w:rFonts w:hint="default" w:ascii="Times New Roman" w:hAnsi="Times New Roman" w:cs="Times New Roman"/>
          <w:color w:val="000000" w:themeColor="text1"/>
          <w:sz w:val="21"/>
          <w:szCs w:val="21"/>
        </w:rPr>
        <w:t>25</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关于二十四节气，下列表述</w:t>
      </w:r>
      <w:r>
        <w:rPr>
          <w:rFonts w:hint="default" w:ascii="Times New Roman" w:hAnsi="Times New Roman" w:cs="Times New Roman"/>
          <w:b/>
          <w:color w:val="000000" w:themeColor="text1"/>
          <w:sz w:val="21"/>
          <w:szCs w:val="21"/>
        </w:rPr>
        <w:t>错误</w:t>
      </w:r>
      <w:r>
        <w:rPr>
          <w:rFonts w:hint="default" w:ascii="Times New Roman" w:hAnsi="Times New Roman" w:cs="Times New Roman"/>
          <w:color w:val="000000" w:themeColor="text1"/>
          <w:sz w:val="21"/>
          <w:szCs w:val="21"/>
        </w:rPr>
        <w:t>的是</w:t>
      </w:r>
      <w:r>
        <w:rPr>
          <w:rFonts w:hint="eastAsia" w:ascii="Times New Roman" w:hAnsi="Times New Roman" w:cs="Times New Roman"/>
          <w:color w:val="000000" w:themeColor="text1"/>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惊蛰、小满和处暑是反映物候现象的节气</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夏至是北半球一年中白昼最长的一天</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立春、秋分是反映季节的节气</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color w:val="000000" w:themeColor="text1"/>
          <w:sz w:val="21"/>
          <w:szCs w:val="21"/>
        </w:rPr>
      </w:pPr>
      <w:r>
        <w:rPr>
          <w:rFonts w:hint="default" w:ascii="Times New Roman" w:hAnsi="Times New Roman" w:cs="Times New Roman"/>
          <w:color w:val="000000" w:themeColor="text1"/>
          <w:sz w:val="21"/>
          <w:szCs w:val="21"/>
        </w:rPr>
        <w:t>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color w:val="000000" w:themeColor="text1"/>
          <w:sz w:val="21"/>
          <w:szCs w:val="21"/>
        </w:rPr>
        <w:t>白露、寒露、霜降反映气温还渐下降的过程和程度</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26</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现在不少博物馆在展品和展厅里设置传感器，收集观众停留时间和是否拍照等行为数据，以此作为改进展览的依据，法国卢浮宫用蓝牙传感器采集观众行为数据，分析短期停留和长期停留的参观者的不同参观模式，为治理馆内拥堵提供决策依据，陕西历史博物馆通过大数据分析发现，观众对有文字的展品、图版，成套的文物更感兴趣，驻足时间明显更长。</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以上文字意在说明</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大数据可以为博物馆改善工作提供依据</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数字技术可以提升博物馆等文化场所的管理和服务水平</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数字技术在世界各地的博物馆中都得到了运用</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现有博物馆可以运用数字技术改成数字博物馆</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27</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共享经济都习惯把潜在收益留给自己，把潜在风险转嫁给他人。比如许多共享单车企业只管投放，而不管投放的质量，不管后续的管理，有的故意降低成本、追求数量，甚至任由问题单车堆积，这就是一种不负责任的态度。谁获益，谁买单。管理部门不能总是默默无闻地收拾烂摊子，而必须通过强硬措施进行回应。既然某些共享单车企业总是回避短板，甚至公然违背“禁投令”，那么就应该依法惩处，让企业承担必要的风险和代价。</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以上文字意在强调</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必须加强对共享经济组织的公共管制</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必须加强共享单车企业的市场投放管制</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应让共享经济组织承担必要的代价和风险</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共享经济组织管理应遵循“谁获益，谁买单”的原则</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28</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政府服务窗口的隔离玻璃参照银行柜台标准而设，在建设“一窗式”服务中发挥了一定的作用。但是随着政府从管理型向服务型转变，隔离玻璃成为一面“有形”的墙，不仅隔开了与百姓的接触，还可能隔开民心。__________________。玻璃墙的存在很大程度暴露了部分单位服务意识没跟上。这种心态是一堵让政府部门与群众产生隔阂的“心墙”，如果不拆除，“门难进，脸难看，话难听”及吃拿卡要等问题就难以解决，群众就不满意、不高兴、不答应。</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填入划横线部分最恰当的一项是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去除玻璃墙，总归是一种趋势</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玻璃墙隔开了群众与政府部门的联系</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拆除这堵墙就显得尤为重要了</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相对于有形的玻璃墙，拆除心中无形的玻璃墙更重要</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29</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文明是多彩的，人类文明因多样才有交流互鉴的价值”，“文明是平等的，人类文明因平等才有交流互鉴的前提”。“文明是包容的，人类文明因包容才有交流互鉴的动力”当今世界，不同文明之间，是冲突还是对话、对抗还是合作，已经成为关乎人类前途命运的重大课题，也是人类文明何去何从的“时代之问”。在一些国家之间，诸多历史的隔阂需要消除，诸多现实的误解需要澄清，诸多人为的偏见更应被摒弃。事实上，能战胜“文明较量”“文明冲突””文明对抗”的，只能是文明对话、文明交流、文明互鉴。</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最适合作为这段文字标题的是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多彩多样的文明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文明的冲突</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文明的交流互鉴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时代之问</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30</w:t>
      </w:r>
      <w:r>
        <w:rPr>
          <w:rFonts w:hint="eastAsia" w:ascii="Times New Roman" w:hAnsi="Times New Roman" w:cs="Times New Roman"/>
          <w:sz w:val="21"/>
          <w:szCs w:val="21"/>
          <w:lang w:eastAsia="zh-CN"/>
        </w:rPr>
        <w:t>．</w:t>
      </w:r>
      <w:r>
        <w:rPr>
          <w:rFonts w:hint="default" w:ascii="Times New Roman" w:hAnsi="Times New Roman" w:cs="Times New Roman"/>
          <w:sz w:val="21"/>
          <w:szCs w:val="21"/>
        </w:rPr>
        <w:t>①天地之书是文字之书的本源，即便是文字之书高度发达的今天，读天地之书仍然是人类一刻也不能停息的必修课。</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②发明了文字之后，读天地之书仍然是人类不可替代的、最重要的活动</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③读不懂天地这本大书，也自然就没有文字之书。</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④向自然学习，是文字出现之前人类唯一的阅读方式，人类经历了漫长的读天地之书的时光</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⑤古今中外的名流雅士对此早有精辟的解读，近代思想家严复说</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“吾人为学穷理，志求登峰造极，第一要知读无字之书”</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将以上5个句子重新排列，语序正确的是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 xml:space="preserve">①⑤④②③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④②③①⑤</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①④②③⑤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④⑤①②③</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31</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艺术是以一定的形式为载体对人的感受的呈现和传达，是人的本质力量和自然本性______的一种重要形式。未来人类发展不是在科技牵引下的______，而是按照美的法则建设出来的理想田园。</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依次填入横线部分最恰当的一项是</w:t>
      </w:r>
      <w:r>
        <w:rPr>
          <w:rFonts w:hint="eastAsia" w:ascii="Times New Roman" w:hAnsi="Times New Roman" w:cs="Times New Roman"/>
          <w:sz w:val="21"/>
          <w:szCs w:val="21"/>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afterAutospacing="0" w:line="300" w:lineRule="auto"/>
        <w:ind w:leftChars="200"/>
        <w:textAlignment w:val="auto"/>
        <w:rPr>
          <w:rFonts w:hint="default" w:ascii="Times New Roman" w:hAnsi="Times New Roman" w:cs="Times New Roman"/>
          <w:sz w:val="21"/>
          <w:szCs w:val="21"/>
        </w:rPr>
      </w:pPr>
      <w:r>
        <w:rPr>
          <w:rFonts w:hint="eastAsia" w:ascii="Times New Roman" w:hAnsi="Times New Roman" w:cs="Times New Roman"/>
          <w:sz w:val="21"/>
          <w:szCs w:val="21"/>
          <w:lang w:val="en-US" w:eastAsia="zh-CN"/>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 xml:space="preserve">内化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携手同行               </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呈现    突飞猛进</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外化    一意孤行                D</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显现    一枝独秀</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32</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以文化交流，______亚洲命运共同体，______起亚洲大家庭同呼吸共命运的精神价值，共襄命运共同体谋和平促发展的繁荣盛举</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依次填入划横线部分最恰当的一项是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 xml:space="preserve">缔造   凝聚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缔结   凝结</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 xml:space="preserve">结成   凝练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缔约   凝固</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33</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一座山峰的崛起，挺立的是脊梁，一个政党的勃兴，昂扬的是精神、开天辟地、敢为人先的首创精神，坚定理想、_______的奋斗精神，立党为公、忠诚为民的奉献精神，是中国革命精神之源，也是“红船精神”的深刻内涵。“红船精神”思想深邃、_____，是中国共产党人薪火相传的精神源泉、红色基因。</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依次填入划横线部分最恰当的一项是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百转千回   老而弥坚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坚贞不屈   难能可贵</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百折不挠   历久弥新            D</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不屈不饶   弥足珍费</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34</w:t>
      </w:r>
      <w:r>
        <w:rPr>
          <w:rFonts w:hint="eastAsia" w:ascii="Times New Roman" w:hAnsi="Times New Roman" w:cs="Times New Roman"/>
          <w:sz w:val="21"/>
          <w:szCs w:val="21"/>
          <w:lang w:eastAsia="zh-CN"/>
        </w:rPr>
        <w:t>．</w:t>
      </w:r>
      <w:r>
        <w:rPr>
          <w:rFonts w:hint="default" w:ascii="Times New Roman" w:hAnsi="Times New Roman" w:cs="Times New Roman"/>
          <w:sz w:val="21"/>
          <w:szCs w:val="21"/>
        </w:rPr>
        <w:t>①事实证明，做事若不能慎终，往往会功亏一篑、________；做人若不能慎终，则容易走入岐途、误人误己。</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②他在接受了一个创作任务之后，就“破门“而出，“以笔牵马”上坡、上山、上梁，________，精心挥洒，创作了《转战陕北》这幅名画。</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依次填入划横线部分最恰当的一项是</w:t>
      </w:r>
      <w:r>
        <w:rPr>
          <w:rFonts w:hint="eastAsia" w:ascii="Times New Roman" w:hAnsi="Times New Roman" w:cs="Times New Roman"/>
          <w:color w:val="000000" w:themeColor="text1"/>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徒劳无益   深思熟虑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前功尽弃   激情横溢</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前途渺茫   信心满怀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半途而废   胸有成竹</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35</w:t>
      </w:r>
      <w:r>
        <w:rPr>
          <w:rFonts w:hint="eastAsia" w:ascii="Times New Roman" w:hAnsi="Times New Roman" w:cs="Times New Roman"/>
          <w:sz w:val="21"/>
          <w:szCs w:val="21"/>
          <w:lang w:eastAsia="zh-CN"/>
        </w:rPr>
        <w:t>．</w:t>
      </w:r>
      <w:r>
        <w:rPr>
          <w:rFonts w:hint="default" w:ascii="Times New Roman" w:hAnsi="Times New Roman" w:cs="Times New Roman"/>
          <w:sz w:val="21"/>
          <w:szCs w:val="21"/>
        </w:rPr>
        <w:t>①古老的亚洲是人类文明的重要________，亚洲大陆上不同文明之间的对话和交流从未中断。</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②中国领导人的远见与联合国教科文组织的使命______，全世界所有的国家都应该通过教育、文化、科学、交流和信息等“软实力”携手共进，推动人类的文明进步与世界的和平发展。</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依次填入划横线部分最恰当的一项是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发源地   不约而同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策源地   不期而遇</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发样地   不谋而合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起源地   异曲同工</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drawing>
          <wp:anchor distT="0" distB="0" distL="114300" distR="114300" simplePos="0" relativeHeight="251659264" behindDoc="1" locked="0" layoutInCell="1" allowOverlap="1">
            <wp:simplePos x="0" y="0"/>
            <wp:positionH relativeFrom="column">
              <wp:posOffset>3763645</wp:posOffset>
            </wp:positionH>
            <wp:positionV relativeFrom="paragraph">
              <wp:posOffset>509905</wp:posOffset>
            </wp:positionV>
            <wp:extent cx="847725" cy="695325"/>
            <wp:effectExtent l="0" t="0" r="9525" b="952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cstate="print"/>
                    <a:stretch>
                      <a:fillRect/>
                    </a:stretch>
                  </pic:blipFill>
                  <pic:spPr>
                    <a:xfrm>
                      <a:off x="0" y="0"/>
                      <a:ext cx="847725" cy="695325"/>
                    </a:xfrm>
                    <a:prstGeom prst="rect">
                      <a:avLst/>
                    </a:prstGeom>
                    <a:noFill/>
                    <a:ln>
                      <a:noFill/>
                    </a:ln>
                  </pic:spPr>
                </pic:pic>
              </a:graphicData>
            </a:graphic>
          </wp:anchor>
        </w:drawing>
      </w:r>
      <w:r>
        <w:rPr>
          <w:rFonts w:hint="default" w:ascii="Times New Roman" w:hAnsi="Times New Roman" w:cs="Times New Roman"/>
          <w:sz w:val="21"/>
          <w:szCs w:val="21"/>
        </w:rPr>
        <w:t>36</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设一矩形ABCD的长与宽分别为a、b，点E是长边上的黄金分割点，即AE/EB＝（</w:t>
      </w:r>
      <w:r>
        <w:rPr>
          <w:rFonts w:hint="default" w:ascii="Times New Roman" w:hAnsi="Times New Roman" w:eastAsia="宋体" w:cs="Times New Roman"/>
          <w:color w:val="333333"/>
          <w:sz w:val="21"/>
          <w:szCs w:val="21"/>
          <w:shd w:val="clear" w:color="auto" w:fill="FFFFFF"/>
        </w:rPr>
        <w:t>√</w:t>
      </w:r>
      <w:r>
        <w:rPr>
          <w:rStyle w:val="7"/>
          <w:rFonts w:hint="default" w:ascii="Times New Roman" w:hAnsi="Times New Roman" w:eastAsia="宋体" w:cs="Times New Roman"/>
          <w:i w:val="0"/>
          <w:color w:val="CC0000"/>
          <w:sz w:val="21"/>
          <w:szCs w:val="21"/>
          <w:shd w:val="clear" w:color="auto" w:fill="FFFFFF"/>
        </w:rPr>
        <w:t>5-1</w:t>
      </w:r>
      <w:r>
        <w:rPr>
          <w:rFonts w:hint="default" w:ascii="Times New Roman" w:hAnsi="Times New Roman" w:cs="Times New Roman"/>
          <w:sz w:val="21"/>
          <w:szCs w:val="21"/>
        </w:rPr>
        <w:t>）/2。点G是边上的金分割点、即AG/GD=</w:t>
      </w:r>
      <w:r>
        <w:rPr>
          <w:rFonts w:hint="default" w:ascii="Times New Roman" w:hAnsi="Times New Roman" w:eastAsia="宋体" w:cs="Times New Roman"/>
          <w:sz w:val="21"/>
          <w:szCs w:val="21"/>
        </w:rPr>
        <w:t>（</w:t>
      </w:r>
      <w:r>
        <w:rPr>
          <w:rFonts w:hint="default" w:ascii="Times New Roman" w:hAnsi="Times New Roman" w:eastAsia="宋体" w:cs="Times New Roman"/>
          <w:color w:val="333333"/>
          <w:sz w:val="21"/>
          <w:szCs w:val="21"/>
          <w:shd w:val="clear" w:color="auto" w:fill="FFFFFF"/>
        </w:rPr>
        <w:t>√</w:t>
      </w:r>
      <w:r>
        <w:rPr>
          <w:rStyle w:val="7"/>
          <w:rFonts w:hint="default" w:ascii="Times New Roman" w:hAnsi="Times New Roman" w:eastAsia="宋体" w:cs="Times New Roman"/>
          <w:i w:val="0"/>
          <w:color w:val="CC0000"/>
          <w:sz w:val="21"/>
          <w:szCs w:val="21"/>
          <w:shd w:val="clear" w:color="auto" w:fill="FFFFFF"/>
        </w:rPr>
        <w:t>5-1</w:t>
      </w:r>
      <w:r>
        <w:rPr>
          <w:rFonts w:hint="default" w:ascii="Times New Roman" w:hAnsi="Times New Roman" w:eastAsia="宋体" w:cs="Times New Roman"/>
          <w:sz w:val="21"/>
          <w:szCs w:val="21"/>
        </w:rPr>
        <w:t>）/2</w:t>
      </w:r>
      <w:r>
        <w:rPr>
          <w:rFonts w:hint="default" w:ascii="Times New Roman" w:hAnsi="Times New Roman" w:cs="Times New Roman"/>
          <w:sz w:val="21"/>
          <w:szCs w:val="21"/>
        </w:rPr>
        <w:t>，则矩形DGHF与矩形BCFE的面积之比为</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color w:val="000000" w:themeColor="text1"/>
          <w:sz w:val="21"/>
          <w:szCs w:val="21"/>
          <w:lang w:eastAsia="zh-CN"/>
        </w:rPr>
        <w:t>．</w:t>
      </w:r>
      <w:r>
        <w:rPr>
          <w:rFonts w:hint="default" w:ascii="Times New Roman" w:hAnsi="Times New Roman" w:eastAsia="宋体" w:cs="Times New Roman"/>
          <w:sz w:val="21"/>
          <w:szCs w:val="21"/>
        </w:rPr>
        <w:t>（</w:t>
      </w:r>
      <w:r>
        <w:rPr>
          <w:rFonts w:hint="default" w:ascii="Times New Roman" w:hAnsi="Times New Roman" w:eastAsia="宋体" w:cs="Times New Roman"/>
          <w:color w:val="333333"/>
          <w:sz w:val="21"/>
          <w:szCs w:val="21"/>
          <w:shd w:val="clear" w:color="auto" w:fill="FFFFFF"/>
        </w:rPr>
        <w:t>√5</w:t>
      </w:r>
      <w:r>
        <w:rPr>
          <w:rStyle w:val="7"/>
          <w:rFonts w:hint="default" w:ascii="Times New Roman" w:hAnsi="Times New Roman" w:eastAsia="宋体" w:cs="Times New Roman"/>
          <w:i w:val="0"/>
          <w:color w:val="CC0000"/>
          <w:sz w:val="21"/>
          <w:szCs w:val="21"/>
          <w:shd w:val="clear" w:color="auto" w:fill="FFFFFF"/>
        </w:rPr>
        <w:t>-1</w:t>
      </w:r>
      <w:r>
        <w:rPr>
          <w:rFonts w:hint="default" w:ascii="Times New Roman" w:hAnsi="Times New Roman" w:eastAsia="宋体" w:cs="Times New Roman"/>
          <w:sz w:val="21"/>
          <w:szCs w:val="21"/>
        </w:rPr>
        <w:t>）：2</w:t>
      </w:r>
      <w:r>
        <w:rPr>
          <w:rFonts w:hint="eastAsia" w:ascii="Times New Roman" w:hAnsi="Times New Roman" w:eastAsia="宋体" w:cs="Times New Roman"/>
          <w:sz w:val="21"/>
          <w:szCs w:val="21"/>
          <w:lang w:val="en-US" w:eastAsia="zh-CN"/>
        </w:rPr>
        <w:t xml:space="preserve">                   </w:t>
      </w:r>
      <w:r>
        <w:rPr>
          <w:rFonts w:hint="default" w:ascii="Times New Roman" w:hAnsi="Times New Roman" w:cs="Times New Roman"/>
          <w:sz w:val="21"/>
          <w:szCs w:val="21"/>
        </w:rPr>
        <w:t>B</w:t>
      </w:r>
      <w:r>
        <w:rPr>
          <w:rFonts w:hint="eastAsia" w:ascii="Times New Roman" w:hAnsi="Times New Roman" w:cs="Times New Roman"/>
          <w:color w:val="000000" w:themeColor="text1"/>
          <w:sz w:val="21"/>
          <w:szCs w:val="21"/>
          <w:lang w:eastAsia="zh-CN"/>
        </w:rPr>
        <w:t>．</w:t>
      </w:r>
      <w:r>
        <w:rPr>
          <w:rFonts w:hint="default" w:ascii="Times New Roman" w:hAnsi="Times New Roman" w:eastAsia="宋体" w:cs="Times New Roman"/>
          <w:sz w:val="21"/>
          <w:szCs w:val="21"/>
        </w:rPr>
        <w:t>（3-</w:t>
      </w:r>
      <w:r>
        <w:rPr>
          <w:rFonts w:hint="default" w:ascii="Times New Roman" w:hAnsi="Times New Roman" w:eastAsia="宋体" w:cs="Times New Roman"/>
          <w:color w:val="333333"/>
          <w:sz w:val="21"/>
          <w:szCs w:val="21"/>
          <w:shd w:val="clear" w:color="auto" w:fill="FFFFFF"/>
        </w:rPr>
        <w:t>√5</w:t>
      </w:r>
      <w:r>
        <w:rPr>
          <w:rFonts w:hint="default" w:ascii="Times New Roman" w:hAnsi="Times New Roman" w:eastAsia="宋体" w:cs="Times New Roman"/>
          <w:sz w:val="21"/>
          <w:szCs w:val="21"/>
        </w:rPr>
        <w:t>）：1</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eastAsia="宋体" w:cs="Times New Roman"/>
          <w:sz w:val="21"/>
          <w:szCs w:val="21"/>
        </w:rPr>
        <w:t>（</w:t>
      </w:r>
      <w:r>
        <w:rPr>
          <w:rFonts w:hint="default" w:ascii="Times New Roman" w:hAnsi="Times New Roman" w:eastAsia="宋体" w:cs="Times New Roman"/>
          <w:color w:val="333333"/>
          <w:sz w:val="21"/>
          <w:szCs w:val="21"/>
          <w:shd w:val="clear" w:color="auto" w:fill="FFFFFF"/>
        </w:rPr>
        <w:t>√</w:t>
      </w:r>
      <w:r>
        <w:rPr>
          <w:rStyle w:val="7"/>
          <w:rFonts w:hint="default" w:ascii="Times New Roman" w:hAnsi="Times New Roman" w:eastAsia="宋体" w:cs="Times New Roman"/>
          <w:i w:val="0"/>
          <w:color w:val="CC0000"/>
          <w:sz w:val="21"/>
          <w:szCs w:val="21"/>
          <w:shd w:val="clear" w:color="auto" w:fill="FFFFFF"/>
        </w:rPr>
        <w:t>5-2</w:t>
      </w:r>
      <w:r>
        <w:rPr>
          <w:rFonts w:hint="default" w:ascii="Times New Roman" w:hAnsi="Times New Roman" w:eastAsia="宋体" w:cs="Times New Roman"/>
          <w:sz w:val="21"/>
          <w:szCs w:val="21"/>
        </w:rPr>
        <w:t>）：1</w:t>
      </w:r>
      <w:r>
        <w:rPr>
          <w:rFonts w:hint="eastAsia" w:ascii="Times New Roman" w:hAnsi="Times New Roman" w:eastAsia="宋体" w:cs="Times New Roman"/>
          <w:sz w:val="21"/>
          <w:szCs w:val="21"/>
          <w:lang w:val="en-US" w:eastAsia="zh-CN"/>
        </w:rPr>
        <w:t xml:space="preserve">                   </w:t>
      </w:r>
      <w:r>
        <w:rPr>
          <w:rFonts w:hint="default" w:ascii="Times New Roman" w:hAnsi="Times New Roman" w:cs="Times New Roman"/>
          <w:sz w:val="21"/>
          <w:szCs w:val="21"/>
        </w:rPr>
        <w:t>D</w:t>
      </w:r>
      <w:r>
        <w:rPr>
          <w:rFonts w:hint="eastAsia" w:ascii="Times New Roman" w:hAnsi="Times New Roman" w:cs="Times New Roman"/>
          <w:color w:val="000000" w:themeColor="text1"/>
          <w:sz w:val="21"/>
          <w:szCs w:val="21"/>
          <w:lang w:eastAsia="zh-CN"/>
        </w:rPr>
        <w:t>．</w:t>
      </w:r>
      <w:r>
        <w:rPr>
          <w:rFonts w:hint="default" w:ascii="Times New Roman" w:hAnsi="Times New Roman" w:eastAsia="宋体" w:cs="Times New Roman"/>
          <w:sz w:val="21"/>
          <w:szCs w:val="21"/>
        </w:rPr>
        <w:t>（3-</w:t>
      </w:r>
      <w:r>
        <w:rPr>
          <w:rFonts w:hint="default" w:ascii="Times New Roman" w:hAnsi="Times New Roman" w:eastAsia="宋体" w:cs="Times New Roman"/>
          <w:color w:val="333333"/>
          <w:sz w:val="21"/>
          <w:szCs w:val="21"/>
          <w:shd w:val="clear" w:color="auto" w:fill="FFFFFF"/>
        </w:rPr>
        <w:t>√</w:t>
      </w:r>
      <w:r>
        <w:rPr>
          <w:rStyle w:val="7"/>
          <w:rFonts w:hint="default" w:ascii="Times New Roman" w:hAnsi="Times New Roman" w:eastAsia="宋体" w:cs="Times New Roman"/>
          <w:i w:val="0"/>
          <w:color w:val="CC0000"/>
          <w:sz w:val="21"/>
          <w:szCs w:val="21"/>
          <w:shd w:val="clear" w:color="auto" w:fill="FFFFFF"/>
        </w:rPr>
        <w:t>5</w:t>
      </w:r>
      <w:r>
        <w:rPr>
          <w:rFonts w:hint="default" w:ascii="Times New Roman" w:hAnsi="Times New Roman" w:eastAsia="宋体" w:cs="Times New Roman"/>
          <w:sz w:val="21"/>
          <w:szCs w:val="21"/>
        </w:rPr>
        <w:t>）：2</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37</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某公司经理找甲、乙、丙三位员工面谈，预计与甲谈10分钟，与乙谈8分钟，与丙谈5分钟，为了使谈话时间与等待时间之和最短，则合理安排的最短时间是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53分钟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51分钟      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41分钟       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39分钟</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38</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左边给定的是纸盒外表面的展开图，右边哪一项不能由它折叠而成</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drawing>
          <wp:inline distT="0" distB="0" distL="114300" distR="114300">
            <wp:extent cx="3486150" cy="100965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cstate="print"/>
                    <a:stretch>
                      <a:fillRect/>
                    </a:stretch>
                  </pic:blipFill>
                  <pic:spPr>
                    <a:xfrm>
                      <a:off x="0" y="0"/>
                      <a:ext cx="3486150" cy="100965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39</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从所给的四个选项中，选择最合的一个填入问号处，使之呈现一定的规律</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drawing>
          <wp:inline distT="0" distB="0" distL="114300" distR="114300">
            <wp:extent cx="3638550" cy="6286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cstate="print"/>
                    <a:stretch>
                      <a:fillRect/>
                    </a:stretch>
                  </pic:blipFill>
                  <pic:spPr>
                    <a:xfrm>
                      <a:off x="0" y="0"/>
                      <a:ext cx="3638550" cy="62865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40</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制度的反功能指的是该制度实现了系统的某些功能之后而产生的副作用，诸如破坏该系统的内部协调、稳定关系，造成系统内部冲突，对系统良性运行产生破坏作用等现象。</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根据上述定义，下列属于制度的反功能的是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某单位实行弹性上班制度，结果上班迟到现象比之前减少了</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某公司实行累进制奖励绩效制度，一段时间后觉得不合理就取消了</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某高校实行绩效考核，一段时间后引发了教师争抢上课、乱发文章等一系列问题</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某外贸公司规定销售额可以提成，结果李某一个月增加了5万元销售额</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41</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线性文化遗产是世界遗产的一种形式，主要是指在拥有特殊文化资源集合的线形或带状区域内的物质和非物质的文化遗产族群，运河、道路以及铁路线等都是重要表现形式。</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根据上述定义，下列</w:t>
      </w:r>
      <w:r>
        <w:rPr>
          <w:rFonts w:hint="default" w:ascii="Times New Roman" w:hAnsi="Times New Roman" w:cs="Times New Roman"/>
          <w:b/>
          <w:sz w:val="21"/>
          <w:szCs w:val="21"/>
        </w:rPr>
        <w:t>不属于</w:t>
      </w:r>
      <w:r>
        <w:rPr>
          <w:rFonts w:hint="default" w:ascii="Times New Roman" w:hAnsi="Times New Roman" w:cs="Times New Roman"/>
          <w:sz w:val="21"/>
          <w:szCs w:val="21"/>
        </w:rPr>
        <w:t>线性文化遗产的是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丝细之路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京杭大运河</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 xml:space="preserve">茶马古道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黄河故道</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42</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某班有七名候选人，其中女生四人，分别是A、B、C、D，男生三人，分别是E、F、G。现要从这七名候选人中选出三人组成参赛团队，且符合以下规则</w:t>
      </w:r>
      <w:r>
        <w:rPr>
          <w:rFonts w:hint="eastAsia" w:ascii="Times New Roman" w:hAnsi="Times New Roman" w:cs="Times New Roman"/>
          <w:sz w:val="21"/>
          <w:szCs w:val="21"/>
          <w:lang w:eastAsia="zh-CN"/>
        </w:rPr>
        <w:t>：</w:t>
      </w:r>
      <w:r>
        <w:rPr>
          <w:rFonts w:hint="default" w:ascii="Times New Roman" w:hAnsi="Times New Roman" w:cs="Times New Roman"/>
          <w:sz w:val="21"/>
          <w:szCs w:val="21"/>
        </w:rPr>
        <w:t>A和E不能同时入选，B不能和男生同时入选。如果C和D不入选，那么该参赛团队的组成方式有</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一种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两种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三种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四种</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43</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某比赛有四位选手进入复赛，他们分别是小张、小李、小王和小赵。复赛前，有甲、乙、丙、丁四人预测复赛的结果。甲说</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小张第一名。乙说</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小李既不是第一名，也不是第三名。丙说</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小赵的名次在小李的后面。丁说</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小王第四名。比赛结果显示，四人中只有一人预测错误。那么，小张、小李、小王和小赵四位选手的名次分别为</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1、3、2、4</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1、2、4、3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2、4、3、1</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1、2、3、4</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b/>
          <w:sz w:val="21"/>
          <w:szCs w:val="21"/>
        </w:rPr>
      </w:pPr>
      <w:r>
        <w:rPr>
          <w:rFonts w:hint="default" w:ascii="Times New Roman" w:hAnsi="Times New Roman" w:cs="Times New Roman"/>
          <w:b/>
          <w:sz w:val="21"/>
          <w:szCs w:val="21"/>
        </w:rPr>
        <w:t>以下44-45题是类比推理。每道题先给出一组相关的词，要求你在备选答案中找出一组与之逻辑关系上最为贴近、相似或匹配的词。</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44</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信件</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邮箱</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邮递员</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学校</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教室</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教师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垃圾</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垃圾桶</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清洁工</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顾客</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服装店</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店长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铅笔</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卷笔刀</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学生</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45</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乐谱对于</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相当于</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对于分类</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钢琴 ；归类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谱曲；信息</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五线谱；商品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演奏；标准</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b/>
          <w:sz w:val="21"/>
          <w:szCs w:val="21"/>
        </w:rPr>
      </w:pPr>
      <w:r>
        <w:rPr>
          <w:rFonts w:hint="default" w:ascii="Times New Roman" w:hAnsi="Times New Roman" w:cs="Times New Roman"/>
          <w:b/>
          <w:sz w:val="21"/>
          <w:szCs w:val="21"/>
        </w:rPr>
        <w:t>根据以下材料，回答46-50题</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近几年我国研究生报考人数越来越多。统计数据显示，2019年全国管通高校毕业生834万人，而2019年研究生报考人数达290万，比2018年增加了52万，增幅达到了21</w:t>
      </w:r>
      <w:r>
        <w:rPr>
          <w:rFonts w:hint="eastAsia" w:ascii="Times New Roman" w:hAnsi="Times New Roman" w:cs="Times New Roman"/>
          <w:sz w:val="21"/>
          <w:szCs w:val="21"/>
          <w:lang w:eastAsia="zh-CN"/>
        </w:rPr>
        <w:t>．</w:t>
      </w:r>
      <w:r>
        <w:rPr>
          <w:rFonts w:hint="default" w:ascii="Times New Roman" w:hAnsi="Times New Roman" w:cs="Times New Roman"/>
          <w:sz w:val="21"/>
          <w:szCs w:val="21"/>
        </w:rPr>
        <w:t>8%。尽管每年的招生计划有所增加，但是对于考生来说争压力还是越来越大。下图给出了2010-2019年研究生报考人数、录取人数和报考增长率</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drawing>
          <wp:inline distT="0" distB="0" distL="0" distR="0">
            <wp:extent cx="5448300" cy="3076575"/>
            <wp:effectExtent l="19050" t="0" r="19050" b="0"/>
            <wp:docPr id="6" name="图表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46</w:t>
      </w:r>
      <w:r>
        <w:rPr>
          <w:rFonts w:hint="eastAsia" w:ascii="Times New Roman" w:hAnsi="Times New Roman" w:cs="Times New Roman"/>
          <w:color w:val="000000" w:themeColor="text1"/>
          <w:sz w:val="21"/>
          <w:szCs w:val="21"/>
          <w:lang w:eastAsia="zh-CN"/>
        </w:rPr>
        <w:t>．</w:t>
      </w:r>
      <w:r>
        <w:rPr>
          <w:rFonts w:hint="default" w:ascii="Times New Roman" w:hAnsi="Times New Roman" w:cs="Times New Roman"/>
          <w:sz w:val="21"/>
          <w:szCs w:val="21"/>
        </w:rPr>
        <w:t>2010-2019年报考人数的年增长率超过2015-2019年年均增长率的有</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3年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4年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5年</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47</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2010-2019年录取率最高的年份是。</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2010年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2015年       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2016年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2017年</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48</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2019年未录取人数比2010年增长了</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113</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 xml:space="preserve">4万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116</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2万      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118</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6万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120</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8万</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49</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2010-2019年报考人数增长率的最高值与最低值之差约为</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25%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26%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C</w:t>
      </w:r>
      <w:r>
        <w:rPr>
          <w:rFonts w:hint="eastAsia" w:ascii="Times New Roman" w:hAnsi="Times New Roman" w:cs="Times New Roman"/>
          <w:sz w:val="21"/>
          <w:szCs w:val="21"/>
          <w:lang w:eastAsia="zh-CN"/>
        </w:rPr>
        <w:t>．</w:t>
      </w:r>
      <w:r>
        <w:rPr>
          <w:rFonts w:hint="default" w:ascii="Times New Roman" w:hAnsi="Times New Roman" w:cs="Times New Roman"/>
          <w:sz w:val="21"/>
          <w:szCs w:val="21"/>
        </w:rPr>
        <w:t xml:space="preserve">27%   </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rPr>
        <w:t xml:space="preserve">   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28%</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50</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根据上述资料，下列表述正确的是</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A</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2010-2019年报考人数的增幅不断增大</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B</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2010-2019年报考人数增速同比回落的年份有2011年、2012年、2013年、2014年</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2015年</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C</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rPr>
        <w:t>2010-2019年录取人数增速最快的是2017年</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D</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2010-2019年录取人数的年均增长率约为10％</w:t>
      </w:r>
    </w:p>
    <w:p>
      <w:pPr>
        <w:keepNext w:val="0"/>
        <w:keepLines w:val="0"/>
        <w:pageBreakBefore w:val="0"/>
        <w:widowControl w:val="0"/>
        <w:kinsoku/>
        <w:wordWrap/>
        <w:overflowPunct/>
        <w:topLinePunct w:val="0"/>
        <w:autoSpaceDE/>
        <w:autoSpaceDN/>
        <w:bidi w:val="0"/>
        <w:adjustRightInd/>
        <w:snapToGrid/>
        <w:spacing w:after="157" w:afterLines="50" w:afterAutospacing="0" w:line="300" w:lineRule="auto"/>
        <w:ind w:left="0" w:leftChars="0" w:firstLine="562" w:firstLineChars="200"/>
        <w:jc w:val="center"/>
        <w:textAlignment w:val="auto"/>
        <w:outlineLvl w:val="0"/>
        <w:rPr>
          <w:rFonts w:hint="default" w:ascii="Times New Roman" w:hAnsi="Times New Roman" w:cs="Times New Roman"/>
          <w:b/>
          <w:sz w:val="28"/>
          <w:szCs w:val="28"/>
        </w:rPr>
      </w:pPr>
      <w:r>
        <w:rPr>
          <w:rFonts w:hint="default" w:ascii="Times New Roman" w:hAnsi="Times New Roman" w:cs="Times New Roman"/>
          <w:b/>
          <w:sz w:val="28"/>
          <w:szCs w:val="28"/>
        </w:rPr>
        <w:t>第二部分</w:t>
      </w:r>
      <w:r>
        <w:rPr>
          <w:rFonts w:hint="default" w:ascii="Times New Roman" w:hAnsi="Times New Roman" w:cs="Times New Roman"/>
          <w:b/>
          <w:sz w:val="28"/>
          <w:szCs w:val="28"/>
          <w:lang w:val="en-US" w:eastAsia="zh-CN"/>
        </w:rPr>
        <w:t xml:space="preserve">  </w:t>
      </w:r>
      <w:r>
        <w:rPr>
          <w:rFonts w:hint="default" w:ascii="Times New Roman" w:hAnsi="Times New Roman" w:cs="Times New Roman"/>
          <w:b/>
          <w:sz w:val="28"/>
          <w:szCs w:val="28"/>
        </w:rPr>
        <w:t>主观题</w:t>
      </w:r>
    </w:p>
    <w:p>
      <w:pPr>
        <w:keepNext w:val="0"/>
        <w:keepLines w:val="0"/>
        <w:pageBreakBefore w:val="0"/>
        <w:widowControl w:val="0"/>
        <w:kinsoku/>
        <w:wordWrap/>
        <w:overflowPunct/>
        <w:topLinePunct w:val="0"/>
        <w:autoSpaceDE/>
        <w:autoSpaceDN/>
        <w:bidi w:val="0"/>
        <w:adjustRightInd/>
        <w:snapToGrid/>
        <w:spacing w:after="157" w:afterLines="50" w:afterAutospacing="0" w:line="300" w:lineRule="auto"/>
        <w:ind w:left="0" w:leftChars="0" w:firstLine="422" w:firstLineChars="200"/>
        <w:textAlignment w:val="auto"/>
        <w:rPr>
          <w:rFonts w:hint="default" w:ascii="Times New Roman" w:hAnsi="Times New Roman" w:cs="Times New Roman"/>
          <w:b/>
          <w:sz w:val="21"/>
          <w:szCs w:val="21"/>
        </w:rPr>
      </w:pPr>
      <w:r>
        <w:rPr>
          <w:rFonts w:hint="default" w:ascii="Times New Roman" w:hAnsi="Times New Roman" w:cs="Times New Roman"/>
          <w:b/>
          <w:sz w:val="21"/>
          <w:szCs w:val="21"/>
        </w:rPr>
        <w:t>本部分为主观题，共3道题。根据题目要求，在指定区城作答</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b/>
          <w:sz w:val="21"/>
          <w:szCs w:val="21"/>
        </w:rPr>
      </w:pPr>
      <w:r>
        <w:rPr>
          <w:rFonts w:hint="eastAsia" w:ascii="Times New Roman" w:hAnsi="Times New Roman" w:cs="Times New Roman"/>
          <w:b/>
          <w:sz w:val="21"/>
          <w:szCs w:val="21"/>
          <w:lang w:eastAsia="zh-CN"/>
        </w:rPr>
        <w:t>【</w:t>
      </w:r>
      <w:r>
        <w:rPr>
          <w:rFonts w:hint="default" w:ascii="Times New Roman" w:hAnsi="Times New Roman" w:cs="Times New Roman"/>
          <w:b/>
          <w:sz w:val="21"/>
          <w:szCs w:val="21"/>
        </w:rPr>
        <w:t>给定资料1</w:t>
      </w:r>
      <w:r>
        <w:rPr>
          <w:rFonts w:hint="eastAsia" w:ascii="Times New Roman" w:hAnsi="Times New Roman" w:cs="Times New Roman"/>
          <w:b/>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互联网技术发展以后，农业科技特派员制度也随之得到深化和发展，从前是一群农民追着一个农业专家跑，期盼得到专家的指导和解答，现在是一群搞栽培、搞温室、搞土壤、摘病虫害防治的资深专家、博士、硕士、科技特派员围着一户农民解决问题，通过互联网使知识、思想的上层建筑同农业生产的物质基础对接碰撞，实现了智力资源的精准帮扶，让“先富”带动“后富”，最终实现农业科技高质量快速发展的“共同富裕”，这已完全颠覆了传统农业服务模式</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近年来S市从高校、科研院所、龙头企业择优选派200多名科技专家和管理人员，深入到扶贫工作重点村开展各种科技帮扶活动，2017年，林科院研究员H被选派到大茂村担任科技特派员后，积极开展科技指导服务，主动将其参与完成的“四倍体泡桐种质创制与新品种培育”项目安排在大茂村进行转化，建立了四倍体泡桐科技示范基地6亩，引进四倍体泡桐种根种苗4000条，每宙纯利润达到4000多元，成为该村增收致富新的增长点。S市农村研究中心主任高某告诉记者，为推进农业科技快速进村入户，S市鼓励各类农业研发、生产经营主体，作为法人科技特派员与贫困村、贫困户结对帮扶，服务贫困地区特色产业发展，带动农民创新创业</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下面是记者在S市走访农业科技特派员了解到的一些情况</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在小孟村，农科所L研究员指导新建占地42亩的春秋大拱棚20个，通过菠菜—西瓜—丝瓜、菜花一黄瓜等轮作模式的推广，全村瓜农每年户均增收2万元，实现了脱贫致富。在南源乡，科技特派员小张带领药农建立“互联网+中药材”运行模式，用微信、微博、淘宝网等网络平台注册店铺，在全国各地发展客户1000多户，并推出微店优惠合作措施，使南源村高产、高质、高价的无公害中药材走向全国各地。在明楼村，农学院N教授自担任科技特派员以来，选择了10名具有一定文化基础的农民作为重点培养对象，使他们成为先进技术的接受者、实施者、传承者、受益者，逐步发展为科技致富带头人</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b/>
          <w:sz w:val="21"/>
          <w:szCs w:val="21"/>
        </w:rPr>
      </w:pPr>
      <w:r>
        <w:rPr>
          <w:rFonts w:hint="default" w:ascii="Times New Roman" w:hAnsi="Times New Roman" w:cs="Times New Roman"/>
          <w:b/>
          <w:sz w:val="21"/>
          <w:szCs w:val="21"/>
        </w:rPr>
        <w:t>作答要求</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一、根据给定资料1，概括S市农业科技特派员科技帮扶的主要类型。</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10分</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要求</w:t>
      </w:r>
      <w:r>
        <w:rPr>
          <w:rFonts w:hint="eastAsia" w:ascii="Times New Roman" w:hAnsi="Times New Roman" w:cs="Times New Roman"/>
          <w:sz w:val="21"/>
          <w:szCs w:val="21"/>
          <w:lang w:eastAsia="zh-CN"/>
        </w:rPr>
        <w:t>：</w:t>
      </w:r>
      <w:r>
        <w:rPr>
          <w:rFonts w:hint="default" w:ascii="Times New Roman" w:hAnsi="Times New Roman" w:cs="Times New Roman"/>
          <w:sz w:val="21"/>
          <w:szCs w:val="21"/>
        </w:rPr>
        <w:t>概括全面、准确，条理清晰，不超过150字</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eastAsia" w:ascii="Times New Roman" w:hAnsi="Times New Roman" w:cs="Times New Roman"/>
          <w:b/>
          <w:sz w:val="21"/>
          <w:szCs w:val="21"/>
          <w:lang w:eastAsia="zh-CN"/>
        </w:rPr>
      </w:pP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b/>
          <w:sz w:val="21"/>
          <w:szCs w:val="21"/>
        </w:rPr>
      </w:pPr>
      <w:r>
        <w:rPr>
          <w:rFonts w:hint="eastAsia" w:ascii="Times New Roman" w:hAnsi="Times New Roman" w:cs="Times New Roman"/>
          <w:b/>
          <w:sz w:val="21"/>
          <w:szCs w:val="21"/>
          <w:lang w:eastAsia="zh-CN"/>
        </w:rPr>
        <w:t>【</w:t>
      </w:r>
      <w:r>
        <w:rPr>
          <w:rFonts w:hint="default" w:ascii="Times New Roman" w:hAnsi="Times New Roman" w:cs="Times New Roman"/>
          <w:b/>
          <w:sz w:val="21"/>
          <w:szCs w:val="21"/>
        </w:rPr>
        <w:t>给定资料2</w:t>
      </w:r>
      <w:r>
        <w:rPr>
          <w:rFonts w:hint="eastAsia" w:ascii="Times New Roman" w:hAnsi="Times New Roman" w:cs="Times New Roman"/>
          <w:b/>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近年来，随着国家乡村振兴战略的提出，各地开始引入新技术、新方法推进农业农村转型升级，“互联网+农业”成为大家关注的热点。传统的电商是通过互联网把工业品、消费品送到农村，而对乡村振兴来说，更重要的是帮助农民把优质特色农产品卖到城市，使现代农业生产和农民生活搭上互联网的快车。</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宋体" w:hAnsi="宋体" w:eastAsia="宋体" w:cs="宋体"/>
          <w:sz w:val="21"/>
          <w:szCs w:val="21"/>
        </w:rPr>
      </w:pPr>
      <w:r>
        <w:rPr>
          <w:rFonts w:hint="eastAsia" w:ascii="宋体" w:hAnsi="宋体" w:eastAsia="宋体" w:cs="宋体"/>
          <w:sz w:val="21"/>
          <w:szCs w:val="21"/>
        </w:rPr>
        <w:t>“今</w:t>
      </w:r>
      <w:r>
        <w:rPr>
          <w:rFonts w:hint="default" w:ascii="Times New Roman" w:hAnsi="Times New Roman" w:cs="Times New Roman"/>
          <w:sz w:val="21"/>
          <w:szCs w:val="21"/>
        </w:rPr>
        <w:t>年，村里枇杷产量近150吨，我们有40％的优质枇杷通</w:t>
      </w:r>
      <w:r>
        <w:rPr>
          <w:rFonts w:hint="eastAsia" w:ascii="宋体" w:hAnsi="宋体" w:eastAsia="宋体" w:cs="宋体"/>
          <w:sz w:val="21"/>
          <w:szCs w:val="21"/>
        </w:rPr>
        <w:t>过“网上枇杷节”卖出去了。”</w:t>
      </w:r>
      <w:r>
        <w:rPr>
          <w:rFonts w:hint="default" w:ascii="Times New Roman" w:hAnsi="Times New Roman" w:cs="Times New Roman"/>
          <w:sz w:val="21"/>
          <w:szCs w:val="21"/>
        </w:rPr>
        <w:t>64岁的村民徐某高兴地对记者说。</w:t>
      </w:r>
      <w:r>
        <w:rPr>
          <w:rFonts w:hint="eastAsia" w:ascii="宋体" w:hAnsi="宋体" w:eastAsia="宋体" w:cs="宋体"/>
          <w:sz w:val="21"/>
          <w:szCs w:val="21"/>
        </w:rPr>
        <w:t>徐某所说的“网上枇杷节”</w:t>
      </w:r>
      <w:r>
        <w:rPr>
          <w:rFonts w:hint="default" w:ascii="Times New Roman" w:hAnsi="Times New Roman" w:cs="Times New Roman"/>
          <w:sz w:val="21"/>
          <w:szCs w:val="21"/>
        </w:rPr>
        <w:t>是W市近年探索</w:t>
      </w:r>
      <w:r>
        <w:rPr>
          <w:rFonts w:hint="eastAsia" w:ascii="宋体" w:hAnsi="宋体" w:eastAsia="宋体" w:cs="宋体"/>
          <w:sz w:val="21"/>
          <w:szCs w:val="21"/>
        </w:rPr>
        <w:t>的“互联网+农业”农产品销售新业态。今年在枇杷上市时节，当地举办“京东网上枇杷节”，让农民尝到了互联网带来的“甜头”。</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宋体" w:hAnsi="宋体" w:eastAsia="宋体" w:cs="宋体"/>
          <w:sz w:val="21"/>
          <w:szCs w:val="21"/>
        </w:rPr>
      </w:pPr>
      <w:r>
        <w:rPr>
          <w:rFonts w:hint="default" w:ascii="Times New Roman" w:hAnsi="Times New Roman" w:cs="Times New Roman"/>
          <w:sz w:val="21"/>
          <w:szCs w:val="21"/>
        </w:rPr>
        <w:t>近期W市600多万亩小麦正陆续收割</w:t>
      </w:r>
      <w:r>
        <w:rPr>
          <w:rFonts w:hint="eastAsia" w:ascii="宋体" w:hAnsi="宋体" w:eastAsia="宋体" w:cs="宋体"/>
          <w:sz w:val="21"/>
          <w:szCs w:val="21"/>
        </w:rPr>
        <w:t>，麦区“三夏”生产热</w:t>
      </w:r>
      <w:r>
        <w:rPr>
          <w:rFonts w:hint="default" w:ascii="Times New Roman" w:hAnsi="Times New Roman" w:cs="Times New Roman"/>
          <w:sz w:val="21"/>
          <w:szCs w:val="21"/>
        </w:rPr>
        <w:t>闹繁忙，在W市智能农机创新中心，2万多台农机被接入了互联网平台，农机跨区作业的轨迹、机收面积和农机位置等信息一目了然。W市还</w:t>
      </w:r>
      <w:r>
        <w:rPr>
          <w:rFonts w:hint="eastAsia" w:ascii="宋体" w:hAnsi="宋体" w:eastAsia="宋体" w:cs="宋体"/>
          <w:sz w:val="21"/>
          <w:szCs w:val="21"/>
        </w:rPr>
        <w:t>推出“网约农机”手</w:t>
      </w:r>
      <w:r>
        <w:rPr>
          <w:rFonts w:hint="default" w:ascii="Times New Roman" w:hAnsi="Times New Roman" w:cs="Times New Roman"/>
          <w:sz w:val="21"/>
          <w:szCs w:val="21"/>
        </w:rPr>
        <w:t>机APP。农民扫描二维码下载安装后，可以方便地寻找到附近3公里到5公里范图内的联合收割机，通过一键呼叫、一键导航，能够迅速与农机手取得联系，自主对接农机，及时完成收割。W市智能农机创新中心相关负责人说：</w:t>
      </w:r>
      <w:r>
        <w:rPr>
          <w:rFonts w:hint="eastAsia" w:ascii="宋体" w:hAnsi="宋体" w:eastAsia="宋体" w:cs="宋体"/>
          <w:sz w:val="21"/>
          <w:szCs w:val="21"/>
        </w:rPr>
        <w:t>“我们开发的管理平台，可以通过安装在农机上的北斗星远程控制器，将分散在各地的农机连接到网络系统平台上，从而进行实时监测、统一调度、协调管理，实现农机智能化升级。”</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b/>
          <w:sz w:val="21"/>
          <w:szCs w:val="21"/>
        </w:rPr>
      </w:pPr>
      <w:r>
        <w:rPr>
          <w:rFonts w:hint="default" w:ascii="Times New Roman" w:hAnsi="Times New Roman" w:cs="Times New Roman"/>
          <w:b/>
          <w:sz w:val="21"/>
          <w:szCs w:val="21"/>
        </w:rPr>
        <w:t>作答要求</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二、结合给定资料2，谈</w:t>
      </w:r>
      <w:r>
        <w:rPr>
          <w:rFonts w:hint="eastAsia" w:ascii="宋体" w:hAnsi="宋体" w:eastAsia="宋体" w:cs="宋体"/>
          <w:sz w:val="21"/>
          <w:szCs w:val="21"/>
        </w:rPr>
        <w:t>谈对“互联网+农业”的</w:t>
      </w:r>
      <w:r>
        <w:rPr>
          <w:rFonts w:hint="default" w:ascii="Times New Roman" w:hAnsi="Times New Roman" w:cs="Times New Roman"/>
          <w:sz w:val="21"/>
          <w:szCs w:val="21"/>
        </w:rPr>
        <w:t>认识。</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15分</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要求</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w:t>
      </w:r>
      <w:r>
        <w:rPr>
          <w:rFonts w:hint="eastAsia" w:ascii="Times New Roman" w:hAnsi="Times New Roman" w:cs="Times New Roman"/>
          <w:sz w:val="21"/>
          <w:szCs w:val="21"/>
          <w:lang w:eastAsia="zh-CN"/>
        </w:rPr>
        <w:t>）</w:t>
      </w:r>
      <w:r>
        <w:rPr>
          <w:rFonts w:hint="default" w:ascii="Times New Roman" w:hAnsi="Times New Roman" w:cs="Times New Roman"/>
          <w:sz w:val="21"/>
          <w:szCs w:val="21"/>
        </w:rPr>
        <w:t>紧扣资料。观点明确</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2</w:t>
      </w:r>
      <w:r>
        <w:rPr>
          <w:rFonts w:hint="eastAsia" w:ascii="Times New Roman" w:hAnsi="Times New Roman" w:cs="Times New Roman"/>
          <w:sz w:val="21"/>
          <w:szCs w:val="21"/>
          <w:lang w:eastAsia="zh-CN"/>
        </w:rPr>
        <w:t>）</w:t>
      </w:r>
      <w:r>
        <w:rPr>
          <w:rFonts w:hint="default" w:ascii="Times New Roman" w:hAnsi="Times New Roman" w:cs="Times New Roman"/>
          <w:sz w:val="21"/>
          <w:szCs w:val="21"/>
        </w:rPr>
        <w:t>分析透彻，条理清断</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3</w:t>
      </w:r>
      <w:r>
        <w:rPr>
          <w:rFonts w:hint="eastAsia" w:ascii="Times New Roman" w:hAnsi="Times New Roman" w:cs="Times New Roman"/>
          <w:sz w:val="21"/>
          <w:szCs w:val="21"/>
          <w:lang w:eastAsia="zh-CN"/>
        </w:rPr>
        <w:t>）</w:t>
      </w:r>
      <w:r>
        <w:rPr>
          <w:rFonts w:hint="default" w:ascii="Times New Roman" w:hAnsi="Times New Roman" w:cs="Times New Roman"/>
          <w:sz w:val="21"/>
          <w:szCs w:val="21"/>
        </w:rPr>
        <w:t>不超过300字</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b/>
          <w:sz w:val="21"/>
          <w:szCs w:val="21"/>
        </w:rPr>
      </w:pP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b/>
          <w:sz w:val="21"/>
          <w:szCs w:val="21"/>
        </w:rPr>
      </w:pPr>
      <w:r>
        <w:rPr>
          <w:rFonts w:hint="eastAsia" w:ascii="Times New Roman" w:hAnsi="Times New Roman" w:cs="Times New Roman"/>
          <w:b/>
          <w:sz w:val="21"/>
          <w:szCs w:val="21"/>
          <w:lang w:eastAsia="zh-CN"/>
        </w:rPr>
        <w:t>【</w:t>
      </w:r>
      <w:r>
        <w:rPr>
          <w:rFonts w:hint="default" w:ascii="Times New Roman" w:hAnsi="Times New Roman" w:cs="Times New Roman"/>
          <w:b/>
          <w:sz w:val="21"/>
          <w:szCs w:val="21"/>
        </w:rPr>
        <w:t>给定资料3</w:t>
      </w:r>
      <w:r>
        <w:rPr>
          <w:rFonts w:hint="eastAsia" w:ascii="Times New Roman" w:hAnsi="Times New Roman" w:cs="Times New Roman"/>
          <w:b/>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随着工业化、城镇化加速发展，人们生活水平提升，城乡各类新旧垃圾问题正在始生态环境埋下隐患，困扰着民众生活，处置不当会带来不良社会影响，许多地方不同程度地面临着“无力处置、无处可去、低效利用”的窘境。</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eastAsia" w:ascii="宋体" w:hAnsi="宋体" w:eastAsia="宋体" w:cs="宋体"/>
          <w:sz w:val="21"/>
          <w:szCs w:val="21"/>
        </w:rPr>
        <w:t>“叮咚”</w:t>
      </w:r>
      <w:r>
        <w:rPr>
          <w:rFonts w:hint="default" w:ascii="Times New Roman" w:hAnsi="Times New Roman" w:cs="Times New Roman"/>
          <w:sz w:val="21"/>
          <w:szCs w:val="21"/>
        </w:rPr>
        <w:t>。6月4日上午8时，R县环境科技有限公司接单员何某的手机上，</w:t>
      </w:r>
      <w:r>
        <w:rPr>
          <w:rFonts w:hint="eastAsia" w:ascii="宋体" w:hAnsi="宋体" w:eastAsia="宋体" w:cs="宋体"/>
          <w:sz w:val="21"/>
          <w:szCs w:val="21"/>
        </w:rPr>
        <w:t>“回收垃圾”</w:t>
      </w:r>
      <w:r>
        <w:rPr>
          <w:rFonts w:hint="default" w:ascii="Times New Roman" w:hAnsi="Times New Roman" w:cs="Times New Roman"/>
          <w:sz w:val="21"/>
          <w:szCs w:val="21"/>
        </w:rPr>
        <w:t>APP弹出等待接单的对话框，核对信息无误后，他按下确认键，随后系</w:t>
      </w:r>
      <w:r>
        <w:rPr>
          <w:rFonts w:hint="eastAsia" w:ascii="宋体" w:hAnsi="宋体" w:eastAsia="宋体" w:cs="宋体"/>
          <w:sz w:val="21"/>
          <w:szCs w:val="21"/>
        </w:rPr>
        <w:t>统就把单子派给了“垃圾快递员”金</w:t>
      </w:r>
      <w:r>
        <w:rPr>
          <w:rFonts w:hint="default" w:ascii="Times New Roman" w:hAnsi="Times New Roman" w:cs="Times New Roman"/>
          <w:sz w:val="21"/>
          <w:szCs w:val="21"/>
        </w:rPr>
        <w:t>某。金某告诉记者</w:t>
      </w:r>
      <w:r>
        <w:rPr>
          <w:rFonts w:hint="eastAsia" w:ascii="Times New Roman" w:hAnsi="Times New Roman" w:cs="Times New Roman"/>
          <w:sz w:val="21"/>
          <w:szCs w:val="21"/>
          <w:lang w:eastAsia="zh-CN"/>
        </w:rPr>
        <w:t>：</w:t>
      </w:r>
      <w:r>
        <w:rPr>
          <w:rFonts w:hint="eastAsia" w:ascii="宋体" w:hAnsi="宋体" w:eastAsia="宋体" w:cs="宋体"/>
          <w:sz w:val="21"/>
          <w:szCs w:val="21"/>
        </w:rPr>
        <w:t>“我今天不是配送货物，而是上门去收废品。”</w:t>
      </w:r>
      <w:r>
        <w:rPr>
          <w:rFonts w:hint="default" w:ascii="Times New Roman" w:hAnsi="Times New Roman" w:cs="Times New Roman"/>
          <w:sz w:val="21"/>
          <w:szCs w:val="21"/>
        </w:rPr>
        <w:t>一早他共接了3个村的垃圾回收派送单，回收的废品是纸板、玻璃等不腐烂、具有再利用价值的可回收垃圾。</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在丽水村垃圾中转站，记者看到除了腐烂垃极处理设备，还多了6个白色的小隔间，分别张</w:t>
      </w:r>
      <w:r>
        <w:rPr>
          <w:rFonts w:hint="eastAsia" w:ascii="宋体" w:hAnsi="宋体" w:eastAsia="宋体" w:cs="宋体"/>
          <w:sz w:val="21"/>
          <w:szCs w:val="21"/>
        </w:rPr>
        <w:t>贴了“布料”“金属”“塑料”“纸质”“玻璃”“其他”的指</w:t>
      </w:r>
      <w:r>
        <w:rPr>
          <w:rFonts w:hint="default" w:ascii="Times New Roman" w:hAnsi="Times New Roman" w:cs="Times New Roman"/>
          <w:sz w:val="21"/>
          <w:szCs w:val="21"/>
        </w:rPr>
        <w:t>示牌，那些不可腐烂的垃圾被重新分成6大类，便</w:t>
      </w:r>
      <w:r>
        <w:rPr>
          <w:rFonts w:hint="eastAsia" w:ascii="宋体" w:hAnsi="宋体" w:eastAsia="宋体" w:cs="宋体"/>
          <w:sz w:val="21"/>
          <w:szCs w:val="21"/>
        </w:rPr>
        <w:t>于“垃圾快递员”回</w:t>
      </w:r>
      <w:r>
        <w:rPr>
          <w:rFonts w:hint="default" w:ascii="Times New Roman" w:hAnsi="Times New Roman" w:cs="Times New Roman"/>
          <w:sz w:val="21"/>
          <w:szCs w:val="21"/>
        </w:rPr>
        <w:t>收。R县农业农村服务部门负责人介绍，为鼓励村民进行垃圾分类，以4个月为周期，由第三方机构对村民投放的可回收垃圾数量和实现价值量进行鉴定打分，对总分排名前的村民给予一定奖励。</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作为G市农村生活垃圾分类试点区，R县农村生活垃圾分类从2009年开始试点；2012年3月颁布实施《R县生活垃圾分类管理办法》，明确城乡垃圾分类投放、收运，处置等各环节实施主体，</w:t>
      </w:r>
      <w:r>
        <w:rPr>
          <w:rFonts w:hint="eastAsia" w:ascii="宋体" w:hAnsi="宋体" w:eastAsia="宋体" w:cs="宋体"/>
          <w:sz w:val="21"/>
          <w:szCs w:val="21"/>
        </w:rPr>
        <w:t>设立“拒收制”倒</w:t>
      </w:r>
      <w:r>
        <w:rPr>
          <w:rFonts w:hint="default" w:ascii="Times New Roman" w:hAnsi="Times New Roman" w:cs="Times New Roman"/>
          <w:sz w:val="21"/>
          <w:szCs w:val="21"/>
        </w:rPr>
        <w:t>逼企业、个人进行垃圾分类；2018年实现农村垃分类全域履盖。为破解垃圾精</w:t>
      </w:r>
      <w:r>
        <w:rPr>
          <w:rFonts w:hint="eastAsia" w:ascii="宋体" w:hAnsi="宋体" w:eastAsia="宋体" w:cs="宋体"/>
          <w:sz w:val="21"/>
          <w:szCs w:val="21"/>
        </w:rPr>
        <w:t>确分类“最后一公里”</w:t>
      </w:r>
      <w:r>
        <w:rPr>
          <w:rFonts w:hint="default" w:ascii="Times New Roman" w:hAnsi="Times New Roman" w:cs="Times New Roman"/>
          <w:sz w:val="21"/>
          <w:szCs w:val="21"/>
        </w:rPr>
        <w:t>，今年R县对农村垃圾分类再深化，农业农村服务部门鼓励社会资本参与，引入专业化运营服务，优化农村回收网络和回收模式，构建便民利民的废品回收网络，村垃圾收集员或村民首先自行对废品进行资源重新归置，再由环境科技有限公司的</w:t>
      </w:r>
      <w:r>
        <w:rPr>
          <w:rFonts w:hint="eastAsia" w:ascii="宋体" w:hAnsi="宋体" w:eastAsia="宋体" w:cs="宋体"/>
          <w:sz w:val="21"/>
          <w:szCs w:val="21"/>
        </w:rPr>
        <w:t>专职“垃圾快递员”上门按市</w:t>
      </w:r>
      <w:r>
        <w:rPr>
          <w:rFonts w:hint="default" w:ascii="Times New Roman" w:hAnsi="Times New Roman" w:cs="Times New Roman"/>
          <w:sz w:val="21"/>
          <w:szCs w:val="21"/>
        </w:rPr>
        <w:t>场价回收废品。目前，R县对全县465个行政村实行上门回收，提升了农村可回收垃圾的收运服务水平。</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2" w:firstLineChars="200"/>
        <w:textAlignment w:val="auto"/>
        <w:rPr>
          <w:rFonts w:hint="default" w:ascii="Times New Roman" w:hAnsi="Times New Roman" w:cs="Times New Roman"/>
          <w:b/>
          <w:sz w:val="21"/>
          <w:szCs w:val="21"/>
        </w:rPr>
      </w:pPr>
      <w:r>
        <w:rPr>
          <w:rFonts w:hint="default" w:ascii="Times New Roman" w:hAnsi="Times New Roman" w:cs="Times New Roman"/>
          <w:b/>
          <w:sz w:val="21"/>
          <w:szCs w:val="21"/>
        </w:rPr>
        <w:t>作答要求</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eastAsia" w:ascii="Times New Roman" w:hAnsi="Times New Roman" w:cs="Times New Roman" w:eastAsiaTheme="minorEastAsia"/>
          <w:sz w:val="21"/>
          <w:szCs w:val="21"/>
          <w:lang w:eastAsia="zh-CN"/>
        </w:rPr>
      </w:pPr>
      <w:r>
        <w:rPr>
          <w:rFonts w:hint="default" w:ascii="Times New Roman" w:hAnsi="Times New Roman" w:cs="Times New Roman"/>
          <w:sz w:val="21"/>
          <w:szCs w:val="21"/>
        </w:rPr>
        <w:t>三、假如你是R县农业农村服务部门的工作人员，要参加全市农村垃圾分类工作经验交流会，根据给定资料3，拟写一份介绍R县农村垃圾分类工作的发言提纲</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35分</w:t>
      </w:r>
      <w:r>
        <w:rPr>
          <w:rFonts w:hint="eastAsia" w:ascii="Times New Roman" w:hAnsi="Times New Roman" w:cs="Times New Roman"/>
          <w:sz w:val="21"/>
          <w:szCs w:val="21"/>
          <w:lang w:eastAsia="zh-CN"/>
        </w:rPr>
        <w:t>）</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要求</w:t>
      </w:r>
      <w:r>
        <w:rPr>
          <w:rFonts w:hint="eastAsia" w:ascii="Times New Roman" w:hAnsi="Times New Roman" w:cs="Times New Roman"/>
          <w:sz w:val="21"/>
          <w:szCs w:val="21"/>
          <w:lang w:eastAsia="zh-CN"/>
        </w:rPr>
        <w:t>：</w:t>
      </w:r>
      <w:r>
        <w:rPr>
          <w:rFonts w:hint="default" w:ascii="Times New Roman" w:hAnsi="Times New Roman" w:cs="Times New Roman"/>
          <w:sz w:val="21"/>
          <w:szCs w:val="21"/>
        </w:rPr>
        <w:t>（1）紧扣资料，结构完整</w:t>
      </w:r>
      <w:r>
        <w:rPr>
          <w:rFonts w:hint="eastAsia" w:ascii="Times New Roman" w:hAnsi="Times New Roman" w:cs="Times New Roman"/>
          <w:sz w:val="21"/>
          <w:szCs w:val="21"/>
          <w:lang w:eastAsia="zh-CN"/>
        </w:rPr>
        <w:t>；</w:t>
      </w:r>
      <w:r>
        <w:rPr>
          <w:rFonts w:hint="default" w:ascii="Times New Roman" w:hAnsi="Times New Roman" w:cs="Times New Roman"/>
          <w:sz w:val="21"/>
          <w:szCs w:val="21"/>
        </w:rPr>
        <w:t>（2）重点突出，特色鲜明</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r>
        <w:rPr>
          <w:rFonts w:hint="default" w:ascii="Times New Roman" w:hAnsi="Times New Roman" w:cs="Times New Roman"/>
          <w:sz w:val="21"/>
          <w:szCs w:val="21"/>
        </w:rPr>
        <w:t>（3）条理清晰，语言准确</w:t>
      </w:r>
      <w:r>
        <w:rPr>
          <w:rFonts w:hint="eastAsia" w:ascii="Times New Roman" w:hAnsi="Times New Roman" w:cs="Times New Roman"/>
          <w:sz w:val="21"/>
          <w:szCs w:val="21"/>
          <w:lang w:eastAsia="zh-CN"/>
        </w:rPr>
        <w:t>；</w:t>
      </w:r>
      <w:r>
        <w:rPr>
          <w:rFonts w:hint="default" w:ascii="Times New Roman" w:hAnsi="Times New Roman" w:cs="Times New Roman"/>
          <w:sz w:val="21"/>
          <w:szCs w:val="21"/>
        </w:rPr>
        <w:t>（4）500-600字。</w:t>
      </w:r>
    </w:p>
    <w:p>
      <w:pPr>
        <w:keepNext w:val="0"/>
        <w:keepLines w:val="0"/>
        <w:pageBreakBefore w:val="0"/>
        <w:widowControl w:val="0"/>
        <w:kinsoku/>
        <w:wordWrap/>
        <w:overflowPunct/>
        <w:topLinePunct w:val="0"/>
        <w:autoSpaceDE/>
        <w:autoSpaceDN/>
        <w:bidi w:val="0"/>
        <w:adjustRightInd/>
        <w:snapToGrid/>
        <w:spacing w:afterAutospacing="0" w:line="300" w:lineRule="auto"/>
        <w:ind w:left="0" w:leftChars="0" w:firstLine="420" w:firstLineChars="200"/>
        <w:textAlignment w:val="auto"/>
        <w:rPr>
          <w:rFonts w:hint="default" w:ascii="Times New Roman" w:hAnsi="Times New Roman" w:cs="Times New Roman"/>
          <w:sz w:val="21"/>
          <w:szCs w:val="21"/>
        </w:rPr>
      </w:pP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微软雅黑">
    <w:panose1 w:val="020B0503020204020204"/>
    <w:charset w:val="86"/>
    <w:family w:val="auto"/>
    <w:pitch w:val="default"/>
    <w:sig w:usb0="80000287" w:usb1="280F3C52" w:usb2="00000016" w:usb3="00000000" w:csb0="0004001F" w:csb1="00000000"/>
  </w:font>
  <w:font w:name="Calibri">
    <w:panose1 w:val="020F0502020204030204"/>
    <w:charset w:val="01"/>
    <w:family w:val="auto"/>
    <w:pitch w:val="default"/>
    <w:sig w:usb0="E10002FF" w:usb1="4000ACFF" w:usb2="00000009" w:usb3="00000000" w:csb0="2000019F" w:csb1="00000000"/>
  </w:font>
  <w:font w:name="MS PGothic">
    <w:panose1 w:val="020B0600070205080204"/>
    <w:charset w:val="80"/>
    <w:family w:val="auto"/>
    <w:pitch w:val="default"/>
    <w:sig w:usb0="E00002FF" w:usb1="6AC7FDFB" w:usb2="00000012" w:usb3="00000000" w:csb0="4002009F" w:csb1="DFD7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704686"/>
      <w:docPartObj>
        <w:docPartGallery w:val="autotext"/>
      </w:docPartObj>
    </w:sdtPr>
    <w:sdtContent>
      <w:p>
        <w:pPr>
          <w:jc w:val="center"/>
        </w:pPr>
        <w:r>
          <w:rPr>
            <w:rFonts w:hint="eastAsia"/>
          </w:rPr>
          <w:t>《行政职业能力和农村工作能力测验</w:t>
        </w:r>
        <w:r>
          <w:rPr>
            <w:rFonts w:hint="eastAsia"/>
            <w:lang w:eastAsia="zh-CN"/>
          </w:rPr>
          <w:t>》</w:t>
        </w:r>
        <w:r>
          <w:rPr>
            <w:rFonts w:hint="eastAsia"/>
          </w:rPr>
          <w:t>第</w:t>
        </w:r>
        <w:r>
          <w:fldChar w:fldCharType="begin"/>
        </w:r>
        <w:r>
          <w:instrText xml:space="preserve"> PAGE   \* MERGEFORMAT </w:instrText>
        </w:r>
        <w:r>
          <w:fldChar w:fldCharType="separate"/>
        </w:r>
        <w:r>
          <w:rPr>
            <w:lang w:val="zh-CN"/>
          </w:rPr>
          <w:t>7</w:t>
        </w:r>
        <w:r>
          <w:rPr>
            <w:lang w:val="zh-CN"/>
          </w:rPr>
          <w:fldChar w:fldCharType="end"/>
        </w:r>
        <w:r>
          <w:rPr>
            <w:rFonts w:hint="eastAsia"/>
          </w:rPr>
          <w:t>页</w:t>
        </w:r>
        <w:r>
          <w:rPr>
            <w:rFonts w:hint="eastAsia"/>
            <w:lang w:eastAsia="zh-CN"/>
          </w:rPr>
          <w:t>（</w:t>
        </w:r>
        <w:r>
          <w:rPr>
            <w:rFonts w:hint="eastAsia"/>
          </w:rPr>
          <w:t>共10页</w:t>
        </w:r>
        <w:r>
          <w:rPr>
            <w:rFonts w:hint="eastAsia"/>
            <w:lang w:eastAsia="zh-CN"/>
          </w:rPr>
          <w:t>）</w:t>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both"/>
      <w:rPr>
        <w:rFonts w:hint="eastAsia" w:eastAsiaTheme="minorEastAsia"/>
        <w:lang w:eastAsia="zh-CN"/>
      </w:rPr>
    </w:pPr>
    <w:r>
      <w:rPr>
        <w:rFonts w:hint="eastAsia" w:eastAsiaTheme="minorEastAsia"/>
        <w:lang w:eastAsia="zh-CN"/>
      </w:rPr>
      <w:drawing>
        <wp:inline distT="0" distB="0" distL="114300" distR="114300">
          <wp:extent cx="1619885" cy="375285"/>
          <wp:effectExtent l="0" t="0" r="18415" b="5715"/>
          <wp:docPr id="4" name="图片 4" descr="胡杨教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胡杨教育"/>
                  <pic:cNvPicPr>
                    <a:picLocks noChangeAspect="1"/>
                  </pic:cNvPicPr>
                </pic:nvPicPr>
                <pic:blipFill>
                  <a:blip r:embed="rId1"/>
                  <a:stretch>
                    <a:fillRect/>
                  </a:stretch>
                </pic:blipFill>
                <pic:spPr>
                  <a:xfrm>
                    <a:off x="0" y="0"/>
                    <a:ext cx="1619885" cy="37528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E7B1493"/>
    <w:rsid w:val="00000352"/>
    <w:rsid w:val="00021779"/>
    <w:rsid w:val="00034FFC"/>
    <w:rsid w:val="000A19A9"/>
    <w:rsid w:val="000D0376"/>
    <w:rsid w:val="000E5745"/>
    <w:rsid w:val="00165D46"/>
    <w:rsid w:val="00167ED2"/>
    <w:rsid w:val="001715AF"/>
    <w:rsid w:val="001B0ED2"/>
    <w:rsid w:val="001B5652"/>
    <w:rsid w:val="001C4FD5"/>
    <w:rsid w:val="002F26DC"/>
    <w:rsid w:val="00353A2E"/>
    <w:rsid w:val="003660B1"/>
    <w:rsid w:val="00395D68"/>
    <w:rsid w:val="003C4770"/>
    <w:rsid w:val="00425E77"/>
    <w:rsid w:val="00477167"/>
    <w:rsid w:val="005241D6"/>
    <w:rsid w:val="00615089"/>
    <w:rsid w:val="00656D9F"/>
    <w:rsid w:val="006D0BFD"/>
    <w:rsid w:val="00704A4C"/>
    <w:rsid w:val="00733DBD"/>
    <w:rsid w:val="00742F12"/>
    <w:rsid w:val="007868F0"/>
    <w:rsid w:val="007A341B"/>
    <w:rsid w:val="00830867"/>
    <w:rsid w:val="00957415"/>
    <w:rsid w:val="00A05D9B"/>
    <w:rsid w:val="00A42A3A"/>
    <w:rsid w:val="00BF1974"/>
    <w:rsid w:val="00BF64F7"/>
    <w:rsid w:val="00C372E3"/>
    <w:rsid w:val="00CA1360"/>
    <w:rsid w:val="00CA6147"/>
    <w:rsid w:val="00CF7058"/>
    <w:rsid w:val="00D40DA8"/>
    <w:rsid w:val="00D749FC"/>
    <w:rsid w:val="00DF419D"/>
    <w:rsid w:val="00E1367F"/>
    <w:rsid w:val="00EB7A3D"/>
    <w:rsid w:val="00EF2E71"/>
    <w:rsid w:val="00F10B0A"/>
    <w:rsid w:val="00F164B4"/>
    <w:rsid w:val="00F45EA0"/>
    <w:rsid w:val="00F52DED"/>
    <w:rsid w:val="00FB1626"/>
    <w:rsid w:val="00FF2332"/>
    <w:rsid w:val="03545960"/>
    <w:rsid w:val="070D1A95"/>
    <w:rsid w:val="09D03B16"/>
    <w:rsid w:val="0E7B1493"/>
    <w:rsid w:val="18C90BF5"/>
    <w:rsid w:val="2121015C"/>
    <w:rsid w:val="23F57067"/>
    <w:rsid w:val="2B310F5F"/>
    <w:rsid w:val="3D275C37"/>
    <w:rsid w:val="3E1F1A50"/>
    <w:rsid w:val="409F0A98"/>
    <w:rsid w:val="4AED2AF2"/>
    <w:rsid w:val="4DC71B74"/>
    <w:rsid w:val="4E4544E6"/>
    <w:rsid w:val="4F236B7F"/>
    <w:rsid w:val="544E54B4"/>
    <w:rsid w:val="623F4290"/>
    <w:rsid w:val="63BE5466"/>
    <w:rsid w:val="68A8179E"/>
    <w:rsid w:val="74C364A2"/>
    <w:rsid w:val="780349DC"/>
    <w:rsid w:val="79E46240"/>
    <w:rsid w:val="7A1653BF"/>
    <w:rsid w:val="7FB522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qFormat/>
    <w:uiPriority w:val="0"/>
    <w:rPr>
      <w:sz w:val="18"/>
      <w:szCs w:val="18"/>
    </w:rPr>
  </w:style>
  <w:style w:type="paragraph" w:styleId="3">
    <w:name w:val="footer"/>
    <w:basedOn w:val="1"/>
    <w:link w:val="9"/>
    <w:qFormat/>
    <w:uiPriority w:val="99"/>
    <w:pPr>
      <w:tabs>
        <w:tab w:val="center" w:pos="4153"/>
        <w:tab w:val="right" w:pos="8306"/>
      </w:tabs>
      <w:snapToGrid w:val="0"/>
      <w:jc w:val="left"/>
    </w:pPr>
    <w:rPr>
      <w:sz w:val="18"/>
      <w:szCs w:val="18"/>
    </w:rPr>
  </w:style>
  <w:style w:type="paragraph" w:styleId="4">
    <w:name w:val="header"/>
    <w:basedOn w:val="1"/>
    <w:link w:val="8"/>
    <w:qFormat/>
    <w:uiPriority w:val="0"/>
    <w:pPr>
      <w:pBdr>
        <w:bottom w:val="single" w:color="auto" w:sz="6" w:space="1"/>
      </w:pBdr>
      <w:tabs>
        <w:tab w:val="center" w:pos="4153"/>
        <w:tab w:val="right" w:pos="8306"/>
      </w:tabs>
      <w:snapToGrid w:val="0"/>
      <w:jc w:val="center"/>
    </w:pPr>
    <w:rPr>
      <w:sz w:val="18"/>
      <w:szCs w:val="18"/>
    </w:rPr>
  </w:style>
  <w:style w:type="character" w:styleId="7">
    <w:name w:val="Emphasis"/>
    <w:basedOn w:val="6"/>
    <w:qFormat/>
    <w:uiPriority w:val="0"/>
    <w:rPr>
      <w:i/>
    </w:rPr>
  </w:style>
  <w:style w:type="character" w:customStyle="1" w:styleId="8">
    <w:name w:val="页眉 Char"/>
    <w:basedOn w:val="6"/>
    <w:link w:val="4"/>
    <w:qFormat/>
    <w:uiPriority w:val="0"/>
    <w:rPr>
      <w:rFonts w:asciiTheme="minorHAnsi" w:hAnsiTheme="minorHAnsi" w:eastAsiaTheme="minorEastAsia" w:cstheme="minorBidi"/>
      <w:kern w:val="2"/>
      <w:sz w:val="18"/>
      <w:szCs w:val="18"/>
    </w:rPr>
  </w:style>
  <w:style w:type="character" w:customStyle="1" w:styleId="9">
    <w:name w:val="页脚 Char"/>
    <w:basedOn w:val="6"/>
    <w:link w:val="3"/>
    <w:qFormat/>
    <w:uiPriority w:val="99"/>
    <w:rPr>
      <w:rFonts w:asciiTheme="minorHAnsi" w:hAnsiTheme="minorHAnsi" w:eastAsiaTheme="minorEastAsia" w:cstheme="minorBidi"/>
      <w:kern w:val="2"/>
      <w:sz w:val="18"/>
      <w:szCs w:val="18"/>
    </w:rPr>
  </w:style>
  <w:style w:type="character" w:customStyle="1" w:styleId="10">
    <w:name w:val="批注框文本 Char"/>
    <w:basedOn w:val="6"/>
    <w:link w:val="2"/>
    <w:qFormat/>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chart" Target="charts/chart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2.xml"/><Relationship Id="rId10" Type="http://schemas.openxmlformats.org/officeDocument/2006/relationships/customXml" Target="../customXml/item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Workbook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defRPr lang="zh-CN" sz="1800" b="1" i="0" u="none" strike="noStrike" kern="1200" baseline="0">
                <a:solidFill>
                  <a:sysClr val="windowText" lastClr="000000"/>
                </a:solidFill>
                <a:latin typeface="+mn-lt"/>
                <a:ea typeface="+mn-ea"/>
                <a:cs typeface="+mn-cs"/>
              </a:defRPr>
            </a:pPr>
            <a:r>
              <a:rPr lang="en-US" altLang="zh-CN" sz="1100" b="1" kern="100">
                <a:latin typeface="Calibri" panose="020F0502020204030204"/>
                <a:ea typeface="宋体" panose="02010600030101010101" charset="-122"/>
                <a:cs typeface="Times New Roman" panose="02020603050405020304"/>
              </a:rPr>
              <a:t>2010-2019</a:t>
            </a:r>
            <a:r>
              <a:rPr lang="zh-CN" altLang="zh-CN" sz="1100" b="1" kern="100">
                <a:latin typeface="Calibri" panose="020F0502020204030204"/>
                <a:ea typeface="宋体" panose="02010600030101010101" charset="-122"/>
                <a:cs typeface="Times New Roman" panose="02020603050405020304"/>
              </a:rPr>
              <a:t>年我国研究生报考人数与录取人数统计（单位：万人）</a:t>
            </a:r>
            <a:endParaRPr lang="zh-CN" sz="1100"/>
          </a:p>
        </c:rich>
      </c:tx>
      <c:layout>
        <c:manualLayout>
          <c:xMode val="edge"/>
          <c:yMode val="edge"/>
          <c:x val="0.0628786961070426"/>
          <c:y val="0.0247678018575851"/>
        </c:manualLayout>
      </c:layout>
      <c:overlay val="0"/>
    </c:title>
    <c:autoTitleDeleted val="0"/>
    <c:plotArea>
      <c:layout>
        <c:manualLayout>
          <c:layoutTarget val="inner"/>
          <c:xMode val="edge"/>
          <c:yMode val="edge"/>
          <c:x val="0.0625712178465051"/>
          <c:y val="0.142012465160121"/>
          <c:w val="0.689833526053999"/>
          <c:h val="0.67862671964766"/>
        </c:manualLayout>
      </c:layout>
      <c:lineChart>
        <c:grouping val="standard"/>
        <c:varyColors val="0"/>
        <c:ser>
          <c:idx val="0"/>
          <c:order val="0"/>
          <c:tx>
            <c:strRef>
              <c:f>Sheet1!$B$1</c:f>
              <c:strCache>
                <c:ptCount val="1"/>
                <c:pt idx="0">
                  <c:v>报考人数</c:v>
                </c:pt>
              </c:strCache>
            </c:strRef>
          </c:tx>
          <c:dLbls>
            <c:dLbl>
              <c:idx val="3"/>
              <c:layout>
                <c:manualLayout>
                  <c:x val="-0.0116550116550117"/>
                  <c:y val="-0.0371517027863777"/>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4.27345490618853e-17"/>
                  <c:y val="-0.0330237358101135"/>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9"/>
              <c:layout>
                <c:manualLayout>
                  <c:x val="-0.0256410256410256"/>
                  <c:y val="0.0330237358101135"/>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chemeClr val="tx1"/>
                    </a:solidFill>
                    <a:latin typeface="+mn-lt"/>
                    <a:ea typeface="+mn-ea"/>
                    <a:cs typeface="+mn-cs"/>
                  </a:defRPr>
                </a:pPr>
              </a:p>
            </c:txPr>
            <c:dLblPos val="r"/>
            <c:showLegendKey val="0"/>
            <c:showVal val="1"/>
            <c:showCatName val="0"/>
            <c:showSerName val="0"/>
            <c:showPercent val="0"/>
            <c:showBubbleSize val="0"/>
            <c:showLeaderLines val="0"/>
            <c:extLst>
              <c:ext xmlns:c15="http://schemas.microsoft.com/office/drawing/2012/chart" uri="{CE6537A1-D6FC-4f65-9D91-7224C49458BB}">
                <c15:layout/>
                <c15:showLeaderLines val="0"/>
                <c15:leaderLines/>
              </c:ext>
            </c:extLst>
          </c:dLbls>
          <c:cat>
            <c:strRef>
              <c:f>Sheet1!$A$2:$A$11</c:f>
              <c:strCache>
                <c:ptCount val="10"/>
                <c:pt idx="0">
                  <c:v>2010年</c:v>
                </c:pt>
                <c:pt idx="1">
                  <c:v>2011年</c:v>
                </c:pt>
                <c:pt idx="2">
                  <c:v>2012年</c:v>
                </c:pt>
                <c:pt idx="3">
                  <c:v>2013年</c:v>
                </c:pt>
                <c:pt idx="4">
                  <c:v>2014年</c:v>
                </c:pt>
                <c:pt idx="5">
                  <c:v>2015年</c:v>
                </c:pt>
                <c:pt idx="6">
                  <c:v>2016年</c:v>
                </c:pt>
                <c:pt idx="7">
                  <c:v>2017年</c:v>
                </c:pt>
                <c:pt idx="8">
                  <c:v>2018年</c:v>
                </c:pt>
                <c:pt idx="9">
                  <c:v>2019年</c:v>
                </c:pt>
              </c:strCache>
            </c:strRef>
          </c:cat>
          <c:val>
            <c:numRef>
              <c:f>Sheet1!$B$2:$B$11</c:f>
              <c:numCache>
                <c:formatCode>General</c:formatCode>
                <c:ptCount val="10"/>
                <c:pt idx="0">
                  <c:v>140.6</c:v>
                </c:pt>
                <c:pt idx="1">
                  <c:v>151.6</c:v>
                </c:pt>
                <c:pt idx="2">
                  <c:v>165.6</c:v>
                </c:pt>
                <c:pt idx="3">
                  <c:v>176</c:v>
                </c:pt>
                <c:pt idx="4">
                  <c:v>172</c:v>
                </c:pt>
                <c:pt idx="5">
                  <c:v>164.9</c:v>
                </c:pt>
                <c:pt idx="6">
                  <c:v>177</c:v>
                </c:pt>
                <c:pt idx="7">
                  <c:v>201</c:v>
                </c:pt>
                <c:pt idx="8">
                  <c:v>238</c:v>
                </c:pt>
                <c:pt idx="9">
                  <c:v>290</c:v>
                </c:pt>
              </c:numCache>
            </c:numRef>
          </c:val>
          <c:smooth val="0"/>
        </c:ser>
        <c:ser>
          <c:idx val="1"/>
          <c:order val="1"/>
          <c:tx>
            <c:strRef>
              <c:f>Sheet1!$C$1</c:f>
              <c:strCache>
                <c:ptCount val="1"/>
                <c:pt idx="0">
                  <c:v>录取人数</c:v>
                </c:pt>
              </c:strCache>
            </c:strRef>
          </c:tx>
          <c:dLbls>
            <c:dLbl>
              <c:idx val="0"/>
              <c:layout>
                <c:manualLayout>
                  <c:x val="0"/>
                  <c:y val="0.0330237358101135"/>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0.00932400932400933"/>
                  <c:y val="0.0412796697626419"/>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2"/>
              <c:layout>
                <c:manualLayout>
                  <c:x val="-0.00466200466200466"/>
                  <c:y val="0.0412796697626419"/>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3"/>
              <c:layout>
                <c:manualLayout>
                  <c:x val="-0.00466200466200466"/>
                  <c:y val="0.0536635706914345"/>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4"/>
              <c:layout>
                <c:manualLayout>
                  <c:x val="-0.00699300699300704"/>
                  <c:y val="0.0371517027863777"/>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5"/>
              <c:layout>
                <c:manualLayout>
                  <c:x val="-0.00699300699300699"/>
                  <c:y val="0.0371517027863777"/>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6"/>
              <c:layout>
                <c:manualLayout>
                  <c:x val="0"/>
                  <c:y val="0.0412796697626419"/>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7"/>
              <c:layout>
                <c:manualLayout>
                  <c:x val="-0.0116550116550117"/>
                  <c:y val="0.0330237358101135"/>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8"/>
              <c:layout>
                <c:manualLayout>
                  <c:x val="-0.00932400932400924"/>
                  <c:y val="0.0536635706914345"/>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9"/>
              <c:layout>
                <c:manualLayout>
                  <c:x val="-0.034965034965035"/>
                  <c:y val="0.0371517027863777"/>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chemeClr val="tx1"/>
                    </a:solidFill>
                    <a:latin typeface="+mn-lt"/>
                    <a:ea typeface="+mn-ea"/>
                    <a:cs typeface="+mn-cs"/>
                  </a:defRPr>
                </a:pPr>
              </a:p>
            </c:txPr>
            <c:dLblPos val="r"/>
            <c:showLegendKey val="0"/>
            <c:showVal val="1"/>
            <c:showCatName val="0"/>
            <c:showSerName val="0"/>
            <c:showPercent val="0"/>
            <c:showBubbleSize val="0"/>
            <c:showLeaderLines val="0"/>
            <c:extLst>
              <c:ext xmlns:c15="http://schemas.microsoft.com/office/drawing/2012/chart" uri="{CE6537A1-D6FC-4f65-9D91-7224C49458BB}">
                <c15:layout/>
                <c15:showLeaderLines val="0"/>
                <c15:leaderLines/>
              </c:ext>
            </c:extLst>
          </c:dLbls>
          <c:cat>
            <c:strRef>
              <c:f>Sheet1!$A$2:$A$11</c:f>
              <c:strCache>
                <c:ptCount val="10"/>
                <c:pt idx="0">
                  <c:v>2010年</c:v>
                </c:pt>
                <c:pt idx="1">
                  <c:v>2011年</c:v>
                </c:pt>
                <c:pt idx="2">
                  <c:v>2012年</c:v>
                </c:pt>
                <c:pt idx="3">
                  <c:v>2013年</c:v>
                </c:pt>
                <c:pt idx="4">
                  <c:v>2014年</c:v>
                </c:pt>
                <c:pt idx="5">
                  <c:v>2015年</c:v>
                </c:pt>
                <c:pt idx="6">
                  <c:v>2016年</c:v>
                </c:pt>
                <c:pt idx="7">
                  <c:v>2017年</c:v>
                </c:pt>
                <c:pt idx="8">
                  <c:v>2018年</c:v>
                </c:pt>
                <c:pt idx="9">
                  <c:v>2019年</c:v>
                </c:pt>
              </c:strCache>
            </c:strRef>
          </c:cat>
          <c:val>
            <c:numRef>
              <c:f>Sheet1!$C$2:$C$11</c:f>
              <c:numCache>
                <c:formatCode>General</c:formatCode>
                <c:ptCount val="10"/>
                <c:pt idx="0">
                  <c:v>47.4</c:v>
                </c:pt>
                <c:pt idx="1">
                  <c:v>49.5</c:v>
                </c:pt>
                <c:pt idx="2">
                  <c:v>52.1</c:v>
                </c:pt>
                <c:pt idx="3">
                  <c:v>54</c:v>
                </c:pt>
                <c:pt idx="4">
                  <c:v>54.9</c:v>
                </c:pt>
                <c:pt idx="5">
                  <c:v>57.1</c:v>
                </c:pt>
                <c:pt idx="6">
                  <c:v>59</c:v>
                </c:pt>
                <c:pt idx="7">
                  <c:v>72</c:v>
                </c:pt>
                <c:pt idx="8">
                  <c:v>76.3</c:v>
                </c:pt>
                <c:pt idx="9">
                  <c:v>80.6</c:v>
                </c:pt>
              </c:numCache>
            </c:numRef>
          </c:val>
          <c:smooth val="0"/>
        </c:ser>
        <c:dLbls>
          <c:showLegendKey val="0"/>
          <c:showVal val="1"/>
          <c:showCatName val="0"/>
          <c:showSerName val="0"/>
          <c:showPercent val="0"/>
          <c:showBubbleSize val="0"/>
        </c:dLbls>
        <c:marker val="1"/>
        <c:smooth val="0"/>
        <c:axId val="115922432"/>
        <c:axId val="115923968"/>
      </c:lineChart>
      <c:lineChart>
        <c:grouping val="stacked"/>
        <c:varyColors val="0"/>
        <c:ser>
          <c:idx val="2"/>
          <c:order val="2"/>
          <c:tx>
            <c:strRef>
              <c:f>Sheet1!$D$1</c:f>
              <c:strCache>
                <c:ptCount val="1"/>
                <c:pt idx="0">
                  <c:v>报考增长率</c:v>
                </c:pt>
              </c:strCache>
            </c:strRef>
          </c:tx>
          <c:dLbls>
            <c:delete val="1"/>
          </c:dLbls>
          <c:cat>
            <c:strRef>
              <c:f>Sheet1!$A$2:$A$11</c:f>
              <c:strCache>
                <c:ptCount val="10"/>
                <c:pt idx="0">
                  <c:v>2010年</c:v>
                </c:pt>
                <c:pt idx="1">
                  <c:v>2011年</c:v>
                </c:pt>
                <c:pt idx="2">
                  <c:v>2012年</c:v>
                </c:pt>
                <c:pt idx="3">
                  <c:v>2013年</c:v>
                </c:pt>
                <c:pt idx="4">
                  <c:v>2014年</c:v>
                </c:pt>
                <c:pt idx="5">
                  <c:v>2015年</c:v>
                </c:pt>
                <c:pt idx="6">
                  <c:v>2016年</c:v>
                </c:pt>
                <c:pt idx="7">
                  <c:v>2017年</c:v>
                </c:pt>
                <c:pt idx="8">
                  <c:v>2018年</c:v>
                </c:pt>
                <c:pt idx="9">
                  <c:v>2019年</c:v>
                </c:pt>
              </c:strCache>
            </c:strRef>
          </c:cat>
          <c:val>
            <c:numRef>
              <c:f>Sheet1!$D$2:$D$11</c:f>
              <c:numCache>
                <c:formatCode>General</c:formatCode>
                <c:ptCount val="10"/>
                <c:pt idx="0">
                  <c:v>0.14</c:v>
                </c:pt>
                <c:pt idx="1">
                  <c:v>0.08</c:v>
                </c:pt>
                <c:pt idx="2">
                  <c:v>0.09</c:v>
                </c:pt>
                <c:pt idx="3">
                  <c:v>0.06</c:v>
                </c:pt>
                <c:pt idx="4">
                  <c:v>-0.03</c:v>
                </c:pt>
                <c:pt idx="5">
                  <c:v>-0.04</c:v>
                </c:pt>
                <c:pt idx="6">
                  <c:v>0.06</c:v>
                </c:pt>
                <c:pt idx="7">
                  <c:v>0.14</c:v>
                </c:pt>
                <c:pt idx="8">
                  <c:v>0.18</c:v>
                </c:pt>
                <c:pt idx="9">
                  <c:v>0.22</c:v>
                </c:pt>
              </c:numCache>
            </c:numRef>
          </c:val>
          <c:smooth val="0"/>
        </c:ser>
        <c:dLbls>
          <c:showLegendKey val="0"/>
          <c:showVal val="0"/>
          <c:showCatName val="0"/>
          <c:showSerName val="0"/>
          <c:showPercent val="0"/>
          <c:showBubbleSize val="0"/>
        </c:dLbls>
        <c:marker val="1"/>
        <c:smooth val="0"/>
        <c:axId val="115927296"/>
        <c:axId val="115925760"/>
      </c:lineChart>
      <c:catAx>
        <c:axId val="115922432"/>
        <c:scaling>
          <c:orientation val="minMax"/>
        </c:scaling>
        <c:delete val="0"/>
        <c:axPos val="b"/>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15923968"/>
        <c:crosses val="autoZero"/>
        <c:auto val="1"/>
        <c:lblAlgn val="ctr"/>
        <c:lblOffset val="100"/>
        <c:noMultiLvlLbl val="0"/>
      </c:catAx>
      <c:valAx>
        <c:axId val="115923968"/>
        <c:scaling>
          <c:orientation val="minMax"/>
        </c:scaling>
        <c:delete val="0"/>
        <c:axPos val="l"/>
        <c:majorGridlines/>
        <c:numFmt formatCode="General" sourceLinked="1"/>
        <c:majorTickMark val="none"/>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15922432"/>
        <c:crosses val="autoZero"/>
        <c:crossBetween val="between"/>
      </c:valAx>
      <c:catAx>
        <c:axId val="115927296"/>
        <c:scaling>
          <c:orientation val="minMax"/>
        </c:scaling>
        <c:delete val="1"/>
        <c:axPos val="b"/>
        <c:majorTickMark val="out"/>
        <c:minorTickMark val="none"/>
        <c:tickLblPos val="none"/>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15925760"/>
        <c:crosses val="autoZero"/>
        <c:auto val="1"/>
        <c:lblAlgn val="ctr"/>
        <c:lblOffset val="100"/>
        <c:noMultiLvlLbl val="0"/>
      </c:catAx>
      <c:valAx>
        <c:axId val="115925760"/>
        <c:scaling>
          <c:orientation val="minMax"/>
        </c:scaling>
        <c:delete val="0"/>
        <c:axPos val="r"/>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115927296"/>
        <c:crosses val="max"/>
        <c:crossBetween val="between"/>
      </c:valAx>
    </c:plotArea>
    <c:legend>
      <c:legendPos val="r"/>
      <c:layout>
        <c:manualLayout>
          <c:xMode val="edge"/>
          <c:yMode val="edge"/>
          <c:x val="0.813899748545418"/>
          <c:y val="0.43612231133647"/>
          <c:w val="0.171652809133124"/>
          <c:h val="0.223937007874016"/>
        </c:manualLayout>
      </c:layout>
      <c:overlay val="0"/>
      <c:txPr>
        <a:bodyPr rot="0" spcFirstLastPara="0" vertOverflow="ellipsis" vert="horz" wrap="square" anchor="ctr" anchorCtr="1"/>
        <a:lstStyle/>
        <a:p>
          <a:pPr>
            <a:defRPr lang="zh-CN" sz="900" b="0" i="0" u="none" strike="noStrike" kern="1200" baseline="0">
              <a:solidFill>
                <a:schemeClr val="tx1"/>
              </a:solidFill>
              <a:latin typeface="+mn-lt"/>
              <a:ea typeface="+mn-ea"/>
              <a:cs typeface="+mn-cs"/>
            </a:defRPr>
          </a:pPr>
        </a:p>
      </c:txPr>
    </c:legend>
    <c:plotVisOnly val="0"/>
    <c:dispBlanksAs val="gap"/>
    <c:showDLblsOverMax val="0"/>
  </c:chart>
  <c:txPr>
    <a:bodyPr/>
    <a:lstStyle/>
    <a:p>
      <a:pPr>
        <a:defRPr lang="zh-CN"/>
      </a:pPr>
    </a:p>
  </c:txPr>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0C7B77D-01EC-44A3-A848-6F6E1E65F77A}">
  <ds:schemaRefs/>
</ds:datastoreItem>
</file>

<file path=docProps/app.xml><?xml version="1.0" encoding="utf-8"?>
<Properties xmlns="http://schemas.openxmlformats.org/officeDocument/2006/extended-properties" xmlns:vt="http://schemas.openxmlformats.org/officeDocument/2006/docPropsVTypes">
  <Template>Normal</Template>
  <Pages>10</Pages>
  <Words>1539</Words>
  <Characters>8776</Characters>
  <Lines>73</Lines>
  <Paragraphs>20</Paragraphs>
  <TotalTime>0</TotalTime>
  <ScaleCrop>false</ScaleCrop>
  <LinksUpToDate>false</LinksUpToDate>
  <CharactersWithSpaces>10295</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2019-06-23T01:50:00Z</dcterms:created>
  <dc:creator>Administrator</dc:creator>
  <cp:lastModifiedBy>Administrator</cp:lastModifiedBy>
  <dcterms:modified xsi:type="dcterms:W3CDTF">2022-04-09T12:16:04Z</dcterms:modified>
  <cp:revision>33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A5756ECFE64F4EA5B27D453DA630680C</vt:lpwstr>
  </property>
</Properties>
</file>